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IV.2013.00611 vom 25. April 2014</w:t>
      </w:r>
    </w:p>
    <w:p>
      <w:r>
        <w:t>ZH Sozialversicherungsgericht, 2014-04-25, DE</w:t>
      </w:r>
    </w:p>
    <w:p>
      <w:r>
        <w:rPr>
          <w:b/>
        </w:rPr>
        <w:t xml:space="preserve">Quelle: </w:t>
      </w:r>
      <w:r>
        <w:t>https://mcp.opencaselaw.ch/entscheid/zh_sozialversicherungsgericht_IV.2013.00611</w:t>
      </w:r>
    </w:p>
    <w:p>
      <w:r>
        <w:t>FR: ZH_SOZIALVERSICHERUNGSGERICHT IV.2013.00611 du 25 avril 2014</w:t>
      </w:r>
    </w:p>
    <w:p>
      <w:r>
        <w:t>IT: ZH_SOZIALVERSICHERUNGSGERICHT IV.2013.00611 del 25 aprile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w:t>
      </w:r>
    </w:p>
    <w:p>
      <w:r>
        <w:rPr>
          <w:b/>
        </w:rPr>
        <w:t>E. 1.2</w:t>
      </w:r>
    </w:p>
    <w:p>
      <w:r>
        <w:t>Das Sozialversicherungsgericht hat den Sachverhalt von Amtes wegen fest - zustel len und alle Beweismittel objektiv zu prüfen, unabhängig davon, von wem sie stammen, und danach zu entscheiden, ob sie eine zuverlässige Beur teilung des strittigen Leistungsanspruches gestatten. Insbesondere darf es beim Vor - 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w:t>
      </w:r>
    </w:p>
    <w:p>
      <w:r>
        <w:rPr>
          <w:b/>
        </w:rPr>
        <w:t>E. 2</w:t>
      </w:r>
    </w:p>
    <w:p>
      <w:r>
        <w:t>.</w:t>
      </w:r>
    </w:p>
    <w:p>
      <w:r>
        <w:t>Das Sozialversicherungsgericht stellte im Urteil vom 31. Mai 2012 (Urk. 7/48) fest, dass in somatischer Hinsicht keine Einschränkung der Arbeitsfähigkeit vorliege (Erwägung 2.1). Daran hat sich nach der Aktenlage nichts geändert, und die Beschwerdeführerin macht auch ausschliesslich psychische Beschwer den geltend.</w:t>
      </w:r>
    </w:p>
    <w:p>
      <w:r>
        <w:rPr>
          <w:b/>
        </w:rPr>
        <w:t>E. 3.1</w:t>
      </w:r>
    </w:p>
    <w:p>
      <w:r>
        <w:t>Im von der IV-Stelle eingeholten Gutachten vom 30. Januar 2013 (Urk. 7/62) verwies Dr. Z.___ bei der Zusammenstellung der relevanten Akten vorab auf das Schreiben des Jugendsekretariats B.___</w:t>
      </w:r>
    </w:p>
    <w:p>
      <w:r>
        <w:t>vom 19. Juni 2002 an die Vor mundschaftsbehörde (Urk. 7/44/16-17). Darin ersuchte das Jugendsekretariat um Umteilung der elterlichen Sorge für die damals 6½jährige Tochter von der Beschwerdeführerin auf den Vater des Kindes. Zur Begründung wurde ausge führt, die Beschwerdeführerin leide an einer psychischen Krankheit, die sich unter anderem in einer gestörten Realitätswahrnehmung und depressiven Stim mungen zeige. Die Beschwerdeführerin sei oft nicht in der Lage, die Bedürfnisse des Kindes wahrzunehmen und mit dem Kind adäquat umzugehen. Die Erzie hungsfähigkeit sei erheblich eingeschränkt, zeitweise sogar überhaupt nicht gegeben.</w:t>
      </w:r>
    </w:p>
    <w:p>
      <w:r>
        <w:t>An objektiven Befunden hielt Dr. Z.___ eine Verdeutlichungstendenz mit theat ralischem Demonstrieren der Beschwerden fest . Auffassung, Konzentration und Gedächtnis wirkten kursorisch geprüft unauffällig. Das inhaltliche Denken sei auf die Sorgerechtsproblematik bezüglich der Tochter eingeengt ; Hinweise auf Wahn, Sinnestäuschungen, Ich-Störungen, inadäquate Ängste oder Zwänge bestünden nicht. Im Affekt wirke die Beschwerdeführerin temperamentvoll, zeitweise fast euphorisch, dann wieder angespannt und herabgestimmt. Eine Diagnose mit Auswirkung auf die Arbeitsfähigkeit stellte Dr. Z.___ nicht; als Diagnosen ohne Auswirkung auf die Arbeitsfähigkeit erwähnte er ein Cannabis-Abhängigkeitssyndrom mit gegenwärtigem Substanzgebrauch (ICD-10: F12.24) und akzentuierte Persönlichkeitszüge mit impulsiven und histrionischen Antei len (ICD-10: Z73.1).</w:t>
      </w:r>
    </w:p>
    <w:p>
      <w:r>
        <w:t>Obwohl die Beschwerdeführerin gewisse Verhaltensauffälligkeiten aufweise, fänden s ich weder in den Vorakten noch in der aktuellen Untersuchung klare Hinweise auf eine schwere psychische Störung. Den von Dr. med. C.___ , der die Beschwerdeführerin während kurzer Zeit psychiatrisch behandelt hatte, im Rahmen der fremdanamnestischen Auskunft geäusserten Verdacht auf eine Hypomanie teile er vor allem wegen der sozial sehr zurückgezogenen Lebens weise und wegen des Cannabiskonsums nicht . Auch die Beurteilungen durch das Jugends ekretariat B.___ und durch Dr. med. D.___ , Fachärztin FMH für Allgemeine Medizin, die die Beschwerdeführerin von 2001 bis 2007 psy chotherapeutisch betreut und im Schreiben vom 23. Februar 2007 (Urk. 7/44/18) eine Borderline -Störung diagnostiziert hatte (vgl. Urk. 7/33/1), wirkten aus fachärztlich psychiatrischer Sicht undifferenziert und voreingenommen. Aus psychiatrischer Sicht bestehe keine Beeinträchtigung, die eine langfristige Arbeitsunfähigkeit zu begründen vermöge.</w:t>
      </w:r>
    </w:p>
    <w:p>
      <w:r>
        <w:rPr>
          <w:b/>
        </w:rPr>
        <w:t>E. 3.2</w:t>
      </w:r>
    </w:p>
    <w:p>
      <w:r>
        <w:t>Im Gutachten von Dr. med. E.___ von der A.___ vom 31. Oktober 2013 (Urk. 13/2), das die Beschwerdeführerin im Beschwerdeverfahren in Auftrag gegeben hatte, wurde ihre Lebensgeschichte ausführlich wiedergegeben. Die Beschwer deführerin sei ein erstes Mal im Alter von 19 Jahren von einem Nachbarsjungen vergewaltigt worden. Ihr erster Ehemann, den sie 1990 geheiratet hatte (vgl. Urk. 7/5), habe sie mehrfach vergewaltigt, häufig geschlagen und wiederholt blutend aus der Wohnung ausgeschlossen. Zudem habe er sie zweimal zur Ab treibung gedrängt. Nach der Scheidung habe sie ihren zweiten Ehemann gehei ratet, der der Vater ihrer Tochter sei. Von ihm habe sie sich scheiden lassen, weil er „komische Geldgeschäfte “ gemacht habe; er sei aber ein netter und ruhi ger Mensch.</w:t>
      </w:r>
    </w:p>
    <w:p>
      <w:r>
        <w:t>Die psychischen Beschwerden hätten während der ersten Ehe begonnen. Noch heute kämen ihr immer wieder die Bilder des abgetriebenen Fötus in den Sinn , und sie höre die schabenden und kratzenden Geräusche der Abt r eibungen. Während der zweiten Ehe sei es ihr besser gegangen, aber nach der zweiten Scheidung und der Zuteilung der Tochter an ihren Ex-Mann hätten die Beschwerden im Sinne von Panikattacken, starken Stimmungsschwankungen und Ängsten wieder zugenommen. Seit einigen Jahren erlebe sie starke Atem not, Schmerzen am ganzen Körper , Panikgefühle und Platzangst.</w:t>
      </w:r>
    </w:p>
    <w:p>
      <w:r>
        <w:t>An auffälligen Unter suchungsbefunden erwähnte Dr. E.___ die lebhafte Mimik und Körpersprache, dass die Beschwerdeführerin immer wieder aufstehe, umher gehe und leicht angetrieben und unruhig wirke. Während des Ausfüllens eines Fragebogens seien plötzlich starke Panikgefühle aufgetreten, die Beschwerde führerin habe das Fenster öffnen und tief Luft holen müssen. Anschliessend habe sie starke Schmerzen am ganzen Körper angegeben.</w:t>
      </w:r>
    </w:p>
    <w:p>
      <w:r>
        <w:t>In diagnostischer Hinsicht hielt Dr. E.___ eine ausgeprägte rezidivierende und stärker werdende Angststörung mit Panikattacken, Angstzuständen und Atem not (ICD-10: F40.01) auf dem Boden einer posttraumatischen Belastungsstörung (ICD-10: F43.1) fest. Die Sym p tome hätten sich chronifiziert und seien zu Wesenszügen geworden, so dass heute eine andauernde Persönlichkeitsände rung nach langdauernden psychischen Belastungen (ICD-10: F62.0) mi t ausge prägten paranoiden Zügen und emotional instabilen und selbstunsicheren ängstlichen Persönlichkeitszügen vorliege.</w:t>
      </w:r>
    </w:p>
    <w:p>
      <w:r>
        <w:t>Die Angststörung mit den Panikattacken, der Atemnot und den körperlichen Symptomen und die Symptome der posttraumatischen Belas tungsstörung, die immer wieder ohne erkennbare Vorsymptome aufträten, zusammen mit dem sozialen Verhalten schränkten die Arbeitsfähigkeit derart ein, dass auf dem freien Arbeitsmarkt von einer 100%igen Arbeitsunfähigkeit auszugehen sei.</w:t>
      </w:r>
    </w:p>
    <w:p>
      <w:r>
        <w:rPr>
          <w:b/>
        </w:rPr>
        <w:t>E. 4.1</w:t>
      </w:r>
    </w:p>
    <w:p>
      <w:r>
        <w:t>Bei der Würdigung des Gutachtens von Dr. Z.___</w:t>
      </w:r>
    </w:p>
    <w:p>
      <w:r>
        <w:t>fällt auf, dass sich die subjek tiven Angaben der Beschwerdeführerin zu ihrer Lebensgeschichte etwas wirr und oberflächlich präsentieren. Die körperlichen und psychischen Gewalt anwendungen durch ihren ersten Ehemann wurden nur pauschal erwähnt und die beiden Abt r eibungen, zu denen er sie gedrängt hatte, blieben gänzlich un erwähnt. Folglich blieben auch die Flashbacks, unter denen die Beschwerde führerin gemäss den Ausführungen im Gutachten der A.___ heute noch leidet, unerwähnt und konnten von Dr. Z.___ nicht in die Beurteilung des Gesund heitsschadens und dessen Auswirkungen einbezogen werden.</w:t>
      </w:r>
    </w:p>
    <w:p>
      <w:r>
        <w:t>Demgegenüber mass Dr. E.___ genau diesen Erlebnissen entscheidende Bedeutung für das Krankheitsbild bei und schloss daraus auf eine bereits chronifizierte</w:t>
      </w:r>
    </w:p>
    <w:p>
      <w:r>
        <w:t>Persönlich keitsänderung</w:t>
      </w:r>
    </w:p>
    <w:p>
      <w:r>
        <w:t>und eine daraus resultierende vollständige Arbeitsunfähigkeit (Urk. 13/2 S. 16 f.).</w:t>
      </w:r>
    </w:p>
    <w:p>
      <w:r>
        <w:t>Im Übrigen stimmen die Befunde, die Dr. Z.___ erhob, und die Beschreibung des Verhaltens der Beschwerdeführerin während der Untersuchung mit den Schilderungen im Gutachten der A.___ überein. Darauf wies auch Dr. E.___ hin (Urk. 13/2 S. 16) . Die einzige wesentliche Differenz bei der Befunderhebung besteht darin, dass die Beschwerdeführerin gegenüber Dr. Z.___ einen wesentlich höheren Cannabiskonsum angab als gegenüber Dr. E.___ . Während sie Dr. Z.___</w:t>
      </w:r>
    </w:p>
    <w:p>
      <w:r>
        <w:t>erzählte, praktisch täglich einen Joint zu rauchen (Urk. 7/62/6) , sagte sie bei Dr. E.___ aus, nur hie und da Cannabis zu konsumieren</w:t>
      </w:r>
    </w:p>
    <w:p>
      <w:r>
        <w:t>(Urk. 13/2 S. 11). Daraus schloss</w:t>
      </w:r>
    </w:p>
    <w:p>
      <w:r>
        <w:t>dieser - trotz positivem Resultat bei einer unange kündigten Urinprobe (Urk. 13/2 S. 13) -, die Beschwerdeführerin konsumiere nur zur Rek reation, und verneinte eine Abhängigkeit sowie einen Einfluss des Cannabis auf d e n Gesundheitszustand (Urk. 13/2 S. 18).</w:t>
      </w:r>
    </w:p>
    <w:p>
      <w:r>
        <w:t>I m Gegensatz da zu erklärte Dr. Z.___ gewisse Verhaltensauffälligkeiten mit dem chronischen Cannabiskonsum (Urk. 7/62/8) . Da indes auch Dr. Z.___ dem Ca n nabiskonsum bzw. de n seiner Meinung nach dadurch bedingten Verhaltens - auffälligkeiten keinen Einfluss auf die Arbeitsfähigkeit beimass, braucht der Frage, im welchem Ausmass die Beschwerdeführerin Cannabis konsumiert beziehungsweise konsu mierte, nicht weiter nachgegangen zu werden.</w:t>
      </w:r>
    </w:p>
    <w:p>
      <w:r>
        <w:rPr>
          <w:b/>
        </w:rPr>
        <w:t>E. 4.2</w:t>
      </w:r>
    </w:p>
    <w:p>
      <w:r>
        <w:t>Das Gutachten von Dr. E.___ leuchtet in allen Teilen ein und erfüllt, unabhän gig davon, dass es von der Beschwerdeführerin in Auftrag gegeben wurde, sämtliche von der Rechtsprechung erhobenen Kriterien. Auch die Schilderung der Auswirkungen der Angststörung und die Begründung, weshalb bei der Beschwerdeführerin nach den Gewalteinwirkungen während der ersten Ehe eine posttraumati sche Belastungsstörung vorliegt</w:t>
      </w:r>
    </w:p>
    <w:p>
      <w:r>
        <w:t>und wie diese den Alltag und die Arbeitsfähigkeit beeinflusst, wurden nachvollziehbar und einleuchtend darge legt (Urk. 13/2 S. 16 ff.). Es ist deshalb vollumfänglich auf das Gutachten der A.___ abzustellen und von einer 100%igen Arbeits- und Erwerbsunfähigkeit der Beschwerdeführerin auszugehen, was Anspruch auf eine ganze Invalidenrente gibt.</w:t>
      </w:r>
    </w:p>
    <w:p>
      <w:r>
        <w:rPr>
          <w:b/>
        </w:rPr>
        <w:t>E. 4.3</w:t>
      </w:r>
    </w:p>
    <w:p>
      <w:r>
        <w:t>Das Gutachten der A.___ äussert sich nicht konkret zum Beginn der Arbeitsunfähig keit. Nachdem sich die Beschwerdeführerin am 27. Januar 2011 bei der Invalidenversicherung angemeldet hatte, konnte ein Rentenanspruch frühestens am 1. Juli 2011 entstehen (Art. 29 Abs. 1 IVG) , wenn in diesem Zeit punkt während eines Jahres eine durchschnittliche Arbeitsunfähigkeit von min destens 70 % bestanden hatte (Art. 28 Abs. 1 lit . b in Verbindung mit Abs. 2 IVG). Da die Beschwerdeführerin die psychischen Belastungen, die eine wesent liche Ursache für den eingetretenen Gesundheitsschaden sind, während der ers ten, 1992 geschiedenen (Urk. 7/5/2) Ehe erlitt, und bereits 2002, als das Jugendsekretariat B.___ der Beschwerdeführerin die elterliche Sorge für die Tochter aberkannte, massgebliche psychische Beeinträchtigungen bestanden, ist davon auszugehen, dass die Voraussetzungen für die Zusprechung einer ganzen Invalidenrente am 1. Juli 2011 erfüllt waren. Der Beschwerdeführerin ist daher ab diesem Zeitpunkt eine ganze Invalidenrente zuzusprechen.</w:t>
      </w:r>
    </w:p>
    <w:p>
      <w:r>
        <w:rPr>
          <w:b/>
        </w:rPr>
        <w:t>E. 4.4</w:t>
      </w:r>
    </w:p>
    <w:p>
      <w:r>
        <w:t>Im Gutachten der A.___ wurde unter anderem darauf hingewiesen, dass die Beschwerdeführerin unzureichend medizinisch behandelt wird, und es wurde nebst einer angepassten medikamentösen insbesondere eine unterstützende psy chotherapeutische Behandlung empfohlen (Urk. 13/2 S. 19). Es wird Sache der IV-Stelle sein, die Beschwerdeführerin im Rahmen der Schadenminderungs pflicht allenfalls zu verpflichten, eine adäquate Behandlung aufzunehmen, und die revisionsweise Überprüfung der Invalidenrente vorzusehen.</w:t>
      </w:r>
    </w:p>
    <w:p>
      <w:r>
        <w:rPr>
          <w:b/>
        </w:rPr>
        <w:t>E. 5.1</w:t>
      </w:r>
    </w:p>
    <w:p>
      <w:r>
        <w:t>Gemäss Art.</w:t>
      </w:r>
    </w:p>
    <w:p>
      <w:r>
        <w:rPr>
          <w:b/>
        </w:rPr>
        <w:t>E. 5.2</w:t>
      </w:r>
    </w:p>
    <w:p>
      <w:r>
        <w:t>Mit Honorarnote vom 27. Januar 2014 (Urk. 19/1) macht die unentgeltliche Rechtsvertreterin der Beschwerdeführerin einen Aufwand von 22 Stunden und Barauslagen von Fr. 225.60 geltend, was beim gerichtsüblichen Ansatz von Fr. 200.-- zuzüglich Mehrwertsteuer eine Forderung von Fr. 4 ‘ 995.60 ergibt. Ange sichts des Umstands, dass die Rechtsvertreterin im Beschwerdeverfahren das Gutachten der A.___ eingeholt und dieses in der Replik verarbeitet hat, ist der geltend gemachte Aufwand gerade noch zu rechtfertigen. In diesem Umfang hat die IV-Stelle die unentgeltliche Rechtsvertreterin zu entschädigen.</w:t>
      </w:r>
    </w:p>
    <w:p>
      <w:r>
        <w:rPr>
          <w:b/>
        </w:rPr>
        <w:t>E. 5.3</w:t>
      </w:r>
    </w:p>
    <w:p>
      <w:r>
        <w:t>Art. 45 Abs. 1 ATSG bestimmt, dass der Versicherungsträger die Kosten der Ab klärung übernimmt, soweit er die Massnahmen angeordnet hat. Hat er keine Massnahmen angeordnet, so übernimmt er deren Kosten dennoch, wenn die Massnahmen für die Beurteilung des Anspruchs unerlässlich waren oder Bestandteil nachträglich zugesprochener Leistungen bild en. Einen im Wesentli chen ident i s chen W ortlaut - zugeschnitten auf die Invalidenver sich erung - weist Art. 78 Abs. 3 der Verordnung über die Invalidenversicherung (IVV) auf.</w:t>
      </w:r>
    </w:p>
    <w:p>
      <w:r>
        <w:t>Nach der Rechtsprechung des Bundesgerichts sind Abklärungen dann unerläss lich im Sinne von Art. 45 Abs. 1 ATSG, wenn die entsprechende Massnahme im Rahmen der Untersuchungspflicht ebenfalls anzuordnen gewesen wäre (Urteil des Bundesgerichts 9C_921/2013 vom 24. Februar 2014 E.5.1), der Verwaltung mithin eine Verletzung der ihr im Rahmen des Untersuchungsgrundsatzes oblie genden Pflicht zur rechtsgenüglichen Sachverhaltsabklärung vorzuwerfen ist (Urteil des Bundesgerichts 8C_580/2011 und 8C_704/2011 vom 5. Juli 2012 E. 9).</w:t>
      </w:r>
    </w:p>
    <w:p>
      <w:r>
        <w:t>Zwar wird für die Beurteilung des Leistungsanspruchs der Beschwerdeführerin vollumfänglich auf das von ihr veranlasste Gutachten der A.___ abgestellt. Das von der IV-Stelle eingeholte und der angefochtenen Verfügung zu Grunde gelegte Gutachten von Dr. Z.___ erfüllt indes ebenfalls sämtliche von der Rechtsprechung vorgegebenen Anforderungen. Die Divergenz zum Gutachten der A.___ liegt - wie oben dargelegt - vor allem darin, dass die Beschwerdeführe rin gegenüber Dr. Z.___ einschneidende Erlebnisse verschwieg, so dass Dr. Z.___ deren Auswirkungen auf den psychischen Zustand nicht in seine Beurteilung einfliessen lassen konnte. Dieser Umstand war für die IV-Stelle nicht erkennbar, so dass ihr keine Verletzung des Untersuchungsgrundsatzes vorgeworfen werden kann.</w:t>
      </w:r>
    </w:p>
    <w:p>
      <w:r>
        <w:t>Damit sind die Voraussetzungen für die Vergütung der Kosten für das Gutach ten der A.___ von Fr. 2‘495.-- durch die IV-Stelle nicht er füllt. Die Kosten sind der unentgeltlichen Rechtsvertreterin aus der Gerichtskasse zu erstatten. Das Gericht erkennt: 1.</w:t>
      </w:r>
    </w:p>
    <w:p>
      <w:r>
        <w:t>In Gutheissung der Beschwerde wird die Verfügung der Sozialversicherungsanstalt des Kantons Zürich, IV-Stelle, vom 30. Mai 2013 aufgehoben und es wird festgestellt, dass die Beschwerdeführerin mit Wirkung ab 1. Juli 2011 Anspruch auf eine ganze Invali denrente hat.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der unentgeltlichen Rechtsvertreterin der Beschwerdeführerin, Rechtsanwältin Stephanie Schwarz, eine Prozessent schädigung von Fr. 4'995.60 (inkl. Barauslagen und MWSt ) zu bezahlen. 4 .</w:t>
      </w:r>
    </w:p>
    <w:p>
      <w:r>
        <w:t>Die unentgeltliche Rechtsvertreterin der Beschwerdeführerin, Rechtsanwältin Stephanie Schwarz, wird mit Fr. 2'495 .-- für das Gutachten der A.___ vom 31. Oktober 2013 aus der Gerichtskasse entschädigt. Die Beschwerdeführerin wird</w:t>
      </w:r>
    </w:p>
    <w:p>
      <w:r>
        <w:t>auf § 16 Abs. 4 GSVGer hingewiesen. 5.</w:t>
      </w:r>
    </w:p>
    <w:p>
      <w:r>
        <w:t>Zustellung gegen Empfangsschein an: - Rechtsanwältin Stephanie Schwarz unter Beilage einer Kopie von Urk. 22 - Sozialversicherungsanstalt des Kantons Zürich, IV-Stelle, unter Beilage einer Kopie von Urk. 22 - Bundesamt für Sozialversicherungen - Stiftung Auffangeinrichtung BVG sowie an: - Gerichtskasse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r>
        <w:rPr>
          <w:b/>
        </w:rPr>
        <w:t>E. 9</w:t>
      </w:r>
    </w:p>
    <w:p>
      <w:r>
        <w:t>Abs. 1 bis IVG ist das Beschwerdeverfahren um die Bewilligung oder Verwei gerung von Leistungen der Invalidenversicherung vor dem kanto nalen Versicherungsgericht kostenpflichtig. Die Kosten werden nach dem Ver fahrensaufwand und unabhängig vom Streitwert im Rahmen von Fr. 200.-- bis Fr. 1‘000.-- festgelegt und sind auf Fr. 600.-- anzusetzen. Ausgangsgemäss sind sie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