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IV.2013.00610 vom 21. November 2013</w:t>
      </w:r>
    </w:p>
    <w:p>
      <w:r>
        <w:t>ZH Sozialversicherungsgericht, 2013-11-21, DE</w:t>
      </w:r>
    </w:p>
    <w:p>
      <w:r>
        <w:rPr>
          <w:b/>
        </w:rPr>
        <w:t xml:space="preserve">Quelle: </w:t>
      </w:r>
      <w:r>
        <w:t>https://mcp.opencaselaw.ch/entscheid/zh_sozialversicherungsgericht_IV.2013.00610</w:t>
      </w:r>
    </w:p>
    <w:p>
      <w:r>
        <w:t>FR: ZH_SOZIALVERSICHERUNGSGERICHT IV.2013.00610 du 21 novembre 2013</w:t>
      </w:r>
    </w:p>
    <w:p>
      <w:r>
        <w:t>IT: ZH_SOZIALVERSICHERUNGSGERICHT IV.2013.00610 del 21 novembre 2013</w:t>
      </w:r>
    </w:p>
    <w:p>
      <w:pPr>
        <w:pStyle w:val="Heading2"/>
      </w:pPr>
      <w:r>
        <w:t>Erwägungen</w:t>
      </w:r>
    </w:p>
    <w:p>
      <w:r>
        <w:rPr>
          <w:b/>
        </w:rPr>
        <w:t>E. 1.1</w:t>
      </w:r>
    </w:p>
    <w:p>
      <w:r>
        <w:t>X.___ , geboren 1958, erlitt am 20. November 2001 bei einen Autounfall eine Rippenserienfraktur (Urk. 9 /9/45-47, Urk. 9 /26/22). Mit Verfügung vom 1. Juni 2005 sprach ihm d ie Sozialversicherungsanstalt des Kantons Zürich, IV-Stelle, ge stütz t auf das vom Unfallversicherer (National Ver sicherung) einge holte Gutachten der MEDAS Y.___ vom 27. August 2004 (Urk. 9/ 26/2-29) mit Wir kung ab dem 1. November 2002 eine halbe Invaliden rente zu (Urk. 9/ 45 - 46 und Urk. 9/ 42 [Verfügungsteil 2]). Im Rahmen einer amtlichen Revi sion teilte die IV Stelle dem Ver sicherten am 24. August 2007 mit, dass bei der Überprüfung des Invali ditätsgrades keine Änderung festgestellt worden sei, die sich auf die Rente aus wirke, weshalb weiterhin Anspruch auf die bis herige Invalidenrente (Invalidi tätsgrad: 50 %) bestehe (Urk. 9/ 61).</w:t>
      </w:r>
    </w:p>
    <w:p>
      <w:r>
        <w:rPr>
          <w:b/>
        </w:rPr>
        <w:t>E. 1.2</w:t>
      </w:r>
    </w:p>
    <w:p>
      <w:r>
        <w:t>Am 1. August 2011 veranlasste die IV-Stelle von Amtes wegen eine weitere Rentenrevision (Urk. 9/ 74/1). Sie tätigte Abklärungen in beruflicher und erwerblicher (Urk. 9/ 68, Urk. 9/ 71) sowie medizinischer (Urk. 9/ 69) Hinsicht und prüfte den Sachverhalt im Hinblick auf die am 1. Januar 2012 in Kraft getretene Änderung des Bundes gesetzes über die In vali denversicherung (IVG). Gestützt auf die Stellungnahme des Regionalen Ärztlichen Dienstes (RAD) vom 22. Mai 2012 (Urk. 9/ 74/</w:t>
      </w:r>
    </w:p>
    <w:p>
      <w:r>
        <w:rPr>
          <w:b/>
        </w:rPr>
        <w:t>E. 1.3</w:t>
      </w:r>
    </w:p>
    <w:p>
      <w:r>
        <w:t>Am 1 3. April 2013 teilte die IV-Stelle X.___ mit, dass sie die Kosten für eine bidisziplinäre medizinische Untersuchung (Rheumatologie und Psychiatrie) übernehme ( Urk. 9/98). Der Versicherte liess am 1 9. April 201</w:t>
      </w:r>
    </w:p>
    <w:p>
      <w:r>
        <w:rPr>
          <w:b/>
        </w:rPr>
        <w:t>E. 3</w:t>
      </w:r>
    </w:p>
    <w:p>
      <w:r>
        <w:t>beantragen, dass die Abklärung unter Beizug eines Rückenspezialisten/Neurochirurgen auf sein Wirbelsäule n /Rippenleiden auszudehnen sei ( Urk. 9/100). Die IV-Stelle teilte X.___ am 1 5. Mai 2013 mit, dass sie an einer bidisziplinären Begutach tung festhalte, welche sie bei Dr. med. Z.___ , Rheu matologie und Innere Medizin FMH, und Prof. Dr. med. A.___ , Neurologie sowie Psychiatrie und Psychotherapie (D) , veranlassen werde ( Urk. 9/101). Dagegen erhob der Versicherte am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