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IV.2013.00599 vom 23. September 2013</w:t>
      </w:r>
    </w:p>
    <w:p>
      <w:r>
        <w:t>ZH Sozialversicherungsgericht, 2013-09-23, DE</w:t>
      </w:r>
    </w:p>
    <w:p>
      <w:r>
        <w:rPr>
          <w:b/>
        </w:rPr>
        <w:t xml:space="preserve">Quelle: </w:t>
      </w:r>
      <w:r>
        <w:t>https://mcp.opencaselaw.ch/entscheid/zh_sozialversicherungsgericht_IV.2013.00599</w:t>
      </w:r>
    </w:p>
    <w:p>
      <w:r>
        <w:t>FR: ZH_SOZIALVERSICHERUNGSGERICHT IV.2013.00599 du 23 septembre 2013</w:t>
      </w:r>
    </w:p>
    <w:p>
      <w:r>
        <w:t>IT: ZH_SOZIALVERSICHERUNGSGERICHT IV.2013.00599 del 23 settembre 2013</w:t>
      </w:r>
    </w:p>
    <w:p>
      <w:pPr>
        <w:pStyle w:val="Heading2"/>
      </w:pPr>
      <w:r>
        <w:t>Erwägungen</w:t>
      </w:r>
    </w:p>
    <w:p>
      <w:r>
        <w:rPr>
          <w:b/>
        </w:rPr>
        <w:t>E. 1.1</w:t>
      </w:r>
    </w:p>
    <w:p>
      <w:r>
        <w:t>Invalide oder von einer Invalidität ( Art. 8 des Bundesgesetzes über den Allge meinen Teil des Sozialversicherungsrechts, ATSG) bedrohte Versicherte haben gemäss Art. 8 des Bundesgesetzes über die Invalidenversicherung (IVG) An spruch auf Eingliederungsmassnahmen, soweit: a.</w:t>
      </w:r>
    </w:p>
    <w:p>
      <w:r>
        <w:t>diese notwendig und geeignet sind, die Erwerbsfähigkeit oder die Fähig keit, sich im Aufgabenbereich zu betätigen, wieder herzustellen, zu er halten oder zu verbessern; und b.</w:t>
      </w:r>
    </w:p>
    <w:p>
      <w:r>
        <w:t>die Voraussetzungen für den Anspruch auf die einzelnen Massnahmen er füllt sind ( Abs. 1).</w:t>
      </w:r>
    </w:p>
    <w:p>
      <w:r>
        <w:t>Der Anspruch auf Eingliederungsmassnahmen besteht unabhängig von der Aus übung einer Erwerbstätigkeit vor Eintritt der Invalidität. Bei der Festlegung der Massnahmen ist die gesamte noch zu erwartende Dauer des Erwerbslebens zu berücksichtigen ( Abs. 1 bis ). Nach Massgabe der Artikel 13 und 21 besteht der Anspruch auf Leistungen unabhängig von der Möglichkeit einer Eingliederung ins Erwerbsleben oder in den Aufgabenbereich ( Abs. 2). Nach Massgabe von Artikel 16 Absatz 2 Buchstabe c besteht der Anspruch auf Leistungen unabhän gig davon, ob die Eingliederungsmassnahmen notwendig sind oder nicht, um die Erwerbsfähigkeit oder die Fähigkeit, sich im Aufgabenbereich zu betätigen, zu erhalten oder zu verbessern ( Abs.</w:t>
      </w:r>
    </w:p>
    <w:p>
      <w:r>
        <w:rPr>
          <w:b/>
        </w:rPr>
        <w:t>E. 1.2</w:t>
      </w:r>
    </w:p>
    <w:p>
      <w:r>
        <w:t>Berufliche Massnahmen sind von Gesetzes wegen nicht an einen bestimmten Invaliditätsgrad gebunden. Der Anspruch auf eine bestimmte Eingliederungs massnahme der Invalidenversicherung setzt voraus, dass sie sich zur Erreichung des von ihr bezweckten Eingliederungsziels eignet; dies nicht nur objektiv mit Bezug auf die Massnahme, sondern auch subjektiv mit Bezug auf die Person des Versicherten. Denn eingliederungswirksam kann eine Massnahme nur sein, wenn der Ansprecher selber wenigstens teilweise eingliederungsfähig ist (AHI 2002 S. 109). 1.</w:t>
      </w:r>
    </w:p>
    <w:p>
      <w:r>
        <w:rPr>
          <w:b/>
        </w:rPr>
        <w:t>E. 2</w:t>
      </w:r>
    </w:p>
    <w:p>
      <w:r>
        <w:t>bis ).</w:t>
      </w:r>
    </w:p>
    <w:p>
      <w:r>
        <w:t>Die Eingliederungsmassnahmen bestehen in ( Abs. 3):</w:t>
      </w:r>
    </w:p>
    <w:p>
      <w:r>
        <w:t>medizinischen Massnahmen ( lit . a);</w:t>
      </w:r>
    </w:p>
    <w:p>
      <w:r>
        <w:t>Integrationsmassnahmen zur Vorbereitung auf die berufliche Eingliede rung ( lit . a bis );</w:t>
      </w:r>
    </w:p>
    <w:p>
      <w:r>
        <w:t>Massnahmen beruflicher Art (Berufsberatung, erstmalige berufliche Aus bildung, Umschulung, Arbeitsvermittlung, Kapitalhilfe, lit . b);</w:t>
      </w:r>
    </w:p>
    <w:p>
      <w:r>
        <w:t>der Abgabe von Hilfsmitteln ( lit . d).</w:t>
      </w:r>
    </w:p>
    <w:p>
      <w:r>
        <w:t>Der Anspruch auf konkrete berufliche Massnahmen unterliegt den allgemeinen Anspruchsvoraussetzungen gemäss Art. 8 IVG, namentlich der Geeignetheit, Erforderlichkeit und Eingliederungswirksamkeit. Es muss gewährleistet sein, dass der angestrebte Eingliederungserfolg voraussichtlich von einer gewissen Dauer ist; zudem muss der zu erwartende Erfolg in einem vernünftigen Verhält nis zu den Kosten der konkreten Eingliederungsmassnahme stehen, schliesslich muss die konkrete Massnahme dem Betroffenen auch zumutbar sein (Urteil des Bunde sgerichts I 794/02 vom 19. November 2003 E. 2 mit Hinweisen).</w:t>
      </w:r>
    </w:p>
    <w:p>
      <w:r>
        <w:t>Die Eingliederungsfähigkeit der versicherten Person muss in subjektiver, aber auch in objektiver Hinsicht rechtsgenüglich erstellt sein (AHI 1997 S. 82 E.</w:t>
      </w:r>
    </w:p>
    <w:p>
      <w:r>
        <w:t>2b/ aa ; ZAK 1991 S. 179 unten f. E. 3).</w:t>
      </w:r>
    </w:p>
    <w:p>
      <w:r>
        <w:rPr>
          <w:b/>
        </w:rPr>
        <w:t>E. 3</w:t>
      </w:r>
    </w:p>
    <w:p>
      <w:r>
        <w:t>Im Gebiet der Invalidenversicherung gilt ganz allgemein der Grundsatz, dass die invalide Person, bevor sie Leistungen verlangt, alles ihr Zumutbare selber vor zukehren hat, um die Folgen ihrer Invalidität bestmöglich zu mildern (BGE 113 V 22 E. 4a mit Hinweisen). Dieses Gebot der Selbsteingliederung ist Ausdruck des in der ganzen Sozialversicherung geltenden Grundsatzes der Schadenmin derungspflicht (vgl. BGE 120 V 368 E. 6b, 117 V 275 E. 2b), wobei jedoch von der versicherten Person nur Vorkehren verlangt werden können, die unter Be rücksichtigung der gesamten objektiven und subjektiven Gegebenheiten des Einzelfalles zumutbar sind (BGE 113 V 22 E. 4a mit Hinweisen auf Lehre und Rechtsprechung; ZAK 1989 S. 214 E. 1c). Für die Beantwortung der Frage nach der Zumutbarkeit der Behandlung oder Eingliederungsmassnahme im Sinne von Art. 21 Abs.</w:t>
      </w:r>
    </w:p>
    <w:p>
      <w:r>
        <w:rPr>
          <w:b/>
        </w:rPr>
        <w:t>E. 4</w:t>
      </w:r>
    </w:p>
    <w:p>
      <w:r>
        <w:t>ATSG kann auf die zu Art. 31 Abs. 1 IVG in der bis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