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IV.2013.00591 vom 14. Oktober 2013</w:t>
      </w:r>
    </w:p>
    <w:p>
      <w:r>
        <w:t>ZH Sozialversicherungsgericht, 2013-10-14, DE</w:t>
      </w:r>
    </w:p>
    <w:p>
      <w:r>
        <w:rPr>
          <w:b/>
        </w:rPr>
        <w:t xml:space="preserve">Quelle: </w:t>
      </w:r>
      <w:r>
        <w:t>https://mcp.opencaselaw.ch/entscheid/zh_sozialversicherungsgericht_IV.2013.00591</w:t>
      </w:r>
    </w:p>
    <w:p>
      <w:r>
        <w:t>FR: ZH_SOZIALVERSICHERUNGSGERICHT IV.2013.00591 du 14 octobre 2013</w:t>
      </w:r>
    </w:p>
    <w:p>
      <w:r>
        <w:t>IT: ZH_SOZIALVERSICHERUNGSGERICHT IV.2013.00591 del 14 ottobre 2013</w:t>
      </w:r>
    </w:p>
    <w:p>
      <w:pPr>
        <w:pStyle w:val="Heading2"/>
      </w:pPr>
      <w:r>
        <w:t>Erwägungen</w:t>
      </w:r>
    </w:p>
    <w:p>
      <w:r>
        <w:rPr>
          <w:b/>
        </w:rPr>
        <w:t>E. 1.1</w:t>
      </w:r>
    </w:p>
    <w:p>
      <w:r>
        <w:t>Anfechtungsgegenstand ist vorliegend die Verfügung vom 21 . Mai 2013 , mit welcher die Beschwerdegegnerin an der Begutachtung d es Beschwerdeführer s durch die MEDAS Z.___ und insbesondere durch Dr. med. A.___ im Fachgebiet Orthopädie gemäss ihrer Mitteilung vom</w:t>
      </w:r>
    </w:p>
    <w:p>
      <w:r>
        <w:t>1 1. April 2013</w:t>
      </w:r>
    </w:p>
    <w:p>
      <w:r>
        <w:t>festgehal ten hat ( Urk. 2). Hierbei handelt es sich um eine Zwischen ver fügung im Sinne von Art. 55 Abs. 1 des Bundesgesetzes über den Allgemeinen Teil des So zial versicherungsrechts (ATSG) i.V.m . Art. 5 Abs. 2 und Art. 46 des Bun desge setzes über das Verwaltungsverfahren ( VwVG ), welche bei Bejahung des</w:t>
      </w:r>
    </w:p>
    <w:p>
      <w:r>
        <w:t>nicht wieder gutzumachenden Nachteils (Art. 46 Abs. 1 lit . a VwVG ; BGE 132 V 93 E.</w:t>
      </w:r>
    </w:p>
    <w:p>
      <w:r>
        <w:t>6.1) grundsätzlich unter Erhebung aller gesetzlich vorgesehenen Rügen recht li cher und tatsächlicher Natur selbständig mit Beschwerde angefochten wer den kann.</w:t>
      </w:r>
    </w:p>
    <w:p>
      <w:r>
        <w:rPr>
          <w:b/>
        </w:rPr>
        <w:t>E. 1.2</w:t>
      </w:r>
    </w:p>
    <w:p>
      <w:r>
        <w:t>Vorwegzuschicken ist, dass nach der bisherigen höchstrichterlichen Rechtspre chung die Anordnung einer Begutachtung keine anfechtbare Zwischenverfü gung darstellte (BGE 132 V 93 E. 5). Selbständig anfechtbar waren nach dieser Rechtsprechung jedoch Zwischenverfügungen über formelle Ausstandsgründe (BGE 132 V 93 E. 6.3). Zwischenverfügungen über andere Fragen der Begut ach tung waren hingegen bereits vor dem kantonalen Gericht nur anfechtbar, wenn sie einen nicht wieder gutzumachenden Nachteil bewirkten (BGE 132 V 93 E.</w:t>
      </w:r>
    </w:p>
    <w:p>
      <w:r>
        <w:t>6.1). In der Regel keinen solchen Nachteil bewirken konnten Zwischen ver fügungen über Einwände, welche Fragen der Beweiswürdigung betreffen und daher beim Endentscheid in der Sache noch berücksichtigt werden können. Da zu gehörten rechtsprechungsgemäss die Fragen, aus welcher medizinischen Fach richtung ein Gutachten einzuholen ist, ob ein behandelnder Arzt als Gut achter eingesetzt werden kann, ob die vorgesehene Gutachtensperson die nöti gen Fach kenntnisse besitzt oder ob der Sachverhalt genügend abgeklärt ist (BGE 132 V E. 6.5; vgl. BGE 136 V 156 E. 3.2 und E. 3.3).</w:t>
      </w:r>
    </w:p>
    <w:p>
      <w:r>
        <w:rPr>
          <w:b/>
        </w:rPr>
        <w:t>E. 1.3</w:t>
      </w:r>
    </w:p>
    <w:p>
      <w:r>
        <w:t>Für die Beurteilung des Merkmals des nicht wieder gutzumachenden Nachteils im Kontext der Gutach tenanordnung fällt gemäss der Rechtsprechung (BGE 137 V 210 E.</w:t>
      </w:r>
    </w:p>
    <w:p>
      <w:r>
        <w:t>3.4.2.7) ins Gewicht, dass das Sachverständigengutachten im Rechts mittel verfahren mit Blick auf die fachfremde Materie faktisch nur beschränkt überprüfbar ist. Mithin kommt es entscheidend darauf an, dass qualitätsbe zo gene</w:t>
      </w:r>
    </w:p>
    <w:p>
      <w:r>
        <w:t>Rahmenbedingungen durchgesetzt werden können. Greifen die Mitwir kungs rechte erst nachträglich bei der Beweiswürdigung im Verwaltungs- und Be schwer deverfahren -, so kann hieraus ein nicht wieder gutzumachender Nachteil entstehen, zumal im Anfechtungsstreitverfahren kein Anspruch a uf Einholung von Gerichtsgutachten besteht. Hinzu kommt, dass die mit medizi nischen Un ter suchungen einher gehenden Belastungen zuweilen einen erhebli chen Eingriff in die physische oder psychische Integrität bedeuten.</w:t>
      </w:r>
    </w:p>
    <w:p>
      <w:r>
        <w:rPr>
          <w:b/>
        </w:rPr>
        <w:t>E. 3</w:t>
      </w:r>
    </w:p>
    <w:p>
      <w:r>
        <w:t>) ein .</w:t>
      </w:r>
    </w:p>
    <w:p>
      <w:r>
        <w:rPr>
          <w:b/>
        </w:rPr>
        <w:t>E. 7</w:t>
      </w:r>
    </w:p>
    <w:p>
      <w:r>
        <w:t>/ 150 = Urk. 2) hielt di e IV-Stelle an der Abklärung des Versicherten durch die MEDAS Z.___ fest . 2.</w:t>
      </w:r>
    </w:p>
    <w:p>
      <w:r>
        <w:t>Gegen die Zwischenverfügung vom 21 . Mai 2013 (Urk. 2) erhob der Versi cherte am 24 . Juni 2013 Beschwerde (Urk. 1) und beantragte, es sei Dr. med. A.___ als im Rahmen der polydisziplinären Begutachtung durch</w:t>
      </w:r>
    </w:p>
    <w:p>
      <w:r>
        <w:t>die MEDAS Z.___ vorgesehene Gutachterin abzulehnen und statt dessen eine</w:t>
      </w:r>
    </w:p>
    <w:p>
      <w:r>
        <w:t>andere Gutachtensperson einzusetzen, deren Lebensmittelpunkt sich in der Schweiz befinde (S. 2 Ziff. 1). In prozessualer Hinsicht ersuchte er um Ge wäh rung der unentgeltlichen Prozessführung und um Bestellung von Rechts anwalt Dr.</w:t>
      </w:r>
    </w:p>
    <w:p>
      <w:r>
        <w:t>Andreas Noll, Basel, als unentgeltlichen Rechtsvertreter (Urk. 1 S. 2</w:t>
      </w:r>
    </w:p>
    <w:p>
      <w:r>
        <w:t>Ziff. 4 ).</w:t>
      </w:r>
    </w:p>
    <w:p>
      <w:r>
        <w:t>Mit Beschwerdeantwort vom 2 9. August 2013 schloss die Beschwerdegegnerin auf Abweisung der Beschwerde (Urk. 6 ), was de m Beschwerdeführer am 30 . Au gust 2013 zur Kenntnis gebracht wurde ;</w:t>
      </w:r>
    </w:p>
    <w:p>
      <w:r>
        <w:t>g leichzeitig wurde sein Antrag auf An ordnung eines zweiten Schriftenwechsels abgewiesen (Urk. 8).</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