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IV.2013.00585 vom 11. September 2014</w:t>
      </w:r>
    </w:p>
    <w:p>
      <w:r>
        <w:t>ZH Sozialversicherungsgericht, 2014-09-11, DE</w:t>
      </w:r>
    </w:p>
    <w:p>
      <w:r>
        <w:rPr>
          <w:b/>
        </w:rPr>
        <w:t xml:space="preserve">Quelle: </w:t>
      </w:r>
      <w:r>
        <w:t>https://mcp.opencaselaw.ch/entscheid/zh_sozialversicherungsgericht_IV.2013.00585</w:t>
      </w:r>
    </w:p>
    <w:p>
      <w:r>
        <w:t>FR: ZH_SOZIALVERSICHERUNGSGERICHT IV.2013.00585 du 11 septembre 2014</w:t>
      </w:r>
    </w:p>
    <w:p>
      <w:r>
        <w:t>IT: ZH_SOZIALVERSICHERUNGSGERICHT IV.2013.00585 del 11 settembre 2014</w:t>
      </w:r>
    </w:p>
    <w:p>
      <w:pPr>
        <w:pStyle w:val="Heading2"/>
      </w:pPr>
      <w:r>
        <w:t>Erwägungen</w:t>
      </w:r>
    </w:p>
    <w:p>
      <w:r>
        <w:rPr>
          <w:b/>
        </w:rPr>
        <w:t>E. 1.1</w:t>
      </w:r>
    </w:p>
    <w:p>
      <w:r>
        <w:t>Der Beschwerdeführer machte unter anderem geltend, die mangelhafte Begrün dung der angefochtenen Verfügung stelle eine Gehörsverletzung dar ( Urk. 1 S. 4 f. Ziff. 11).</w:t>
      </w:r>
    </w:p>
    <w:p>
      <w:r>
        <w:rPr>
          <w:b/>
        </w:rPr>
        <w:t>E. 1.2</w:t>
      </w:r>
    </w:p>
    <w:p>
      <w:r>
        <w:t>Verfügungen der Versicherungsträger müssen, wenn sie den Begehren der Par teien nicht voll entsprechen, eine Begründung enthalten, d.h. eine Darstellung des vom Versicherungs träger als relevant erachteten Sachverhal tes und der rechtlichen Erwä gungen ( Art. 49 Abs.</w:t>
      </w:r>
    </w:p>
    <w:p>
      <w:r>
        <w:rPr>
          <w:b/>
        </w:rPr>
        <w:t>E. 1.3</w:t>
      </w:r>
    </w:p>
    <w:p>
      <w:r>
        <w:t>) als geheilt zu erachten. 2.</w:t>
      </w:r>
    </w:p>
    <w:p>
      <w:r>
        <w:t>2 .1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 gust 2003 E. 2.2.3). Dagegen stellt die bloss unterschiedliche Beurteilung der Auswirkungen eines im Wesentlichen unverändert gebliebenen Gesund heitszustandes auf die Arbeitsfähigkeit für sich allein genommen keinen Revisi onsgrund im Sinne von Art. 17 Abs. 1 ATSG dar. 2 .2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w:t>
      </w:r>
    </w:p>
    <w:p>
      <w:r>
        <w:t>Nach der bundesgerichtlichen Rechtsprechung ist eine Verfügung verzichtbar, wenn bei einer von Amtes wegen durchgeführten Revision keine leistungsbe einflussende Änderung der Verhältnisse festgestellt wurde ( Art. 74 ter lit. f der Verordnung über die Invalidenversicherung, IVV) und die bisherige Invaliden rente daher weiter ausgerichtet wird. Wird auf entsprechende Mitteilung hin keine Verfügung verlangt ( Art. 74 quater IVV), ist jene in Bezug auf den Ver gleichszeitpunkt einer (ordentlichen) rechtskräftigen Verfügung gleichzustellen (Urteile des Bundesgerichts 9C_771/2009 vom 10. September 2010 und 9C_586/2010 vom 15. Oktober 2010, je E. 2.2, mit Hinweisen). 2 .3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 .4</w:t>
      </w:r>
    </w:p>
    <w:p>
      <w:r>
        <w:t>In Bezug auf Berichte von Hausärztinnen und Hausärzten darf und soll das Gericht der Erfahrungstatsache Rechnung tragen, dass diese mitunter im Hin blick auf ihre auftragsrechtliche Vertrauensstellung in Zweifelsfällen eher zu Gunsten ihrer Patientinnen und Patienten aussagen (BGE 125 V 351 E. 3b/cc).</w:t>
      </w:r>
    </w:p>
    <w:p>
      <w:r>
        <w:t>Eng damit verwandt ist, dass rechtsprechungsgemäss im Rahmen der Beweis wür digung die Verschiedenheit von Behandlungsauftrag einerseits und Begut achtungsauftrag andererseits</w:t>
      </w:r>
    </w:p>
    <w:p>
      <w:r>
        <w:t>von Bedeutung sind (vgl. BGE 135 V 465 E.</w:t>
      </w:r>
    </w:p>
    <w:p>
      <w:r>
        <w:t>4.5 S.</w:t>
      </w:r>
    </w:p>
    <w:p>
      <w:r>
        <w:t>470 und Urteile des Bundesgerichts 9C_842/2009 vom 1 7. November 2009 E.</w:t>
      </w:r>
    </w:p>
    <w:p>
      <w:r>
        <w:rPr>
          <w:b/>
        </w:rPr>
        <w:t>E. 1.4</w:t>
      </w:r>
    </w:p>
    <w:p>
      <w:r>
        <w:t>Ob die eher knappe Begründung der angefochtenen Verfügung eine Gehörsver letzung darstellt, kann offen bleiben, wäre eine solche doch gemäss der darge legten Rechtsprechung (vorstehen E.</w:t>
      </w:r>
    </w:p>
    <w:p>
      <w:r>
        <w:rPr>
          <w:b/>
        </w:rPr>
        <w:t>E. 2</w:t>
      </w:r>
    </w:p>
    <w:p>
      <w:r>
        <w:t>Der Versicherte erhob gegen die Verfügung vom 2 3. Mai 2013 ( Urk. 2) am 24.</w:t>
      </w:r>
    </w:p>
    <w:p>
      <w:r>
        <w:t>Juni 2013 Beschwerde und beantragte, sie sei aufzuheben und die Beschwer degegnerin sei zu verpflichten, ihm die gesetzlichen Leistungen, ins besondere eine ganze Rente, auszurichten ( Urk. 1 S. 2 oben Ziff. 1-2).</w:t>
      </w:r>
    </w:p>
    <w:p>
      <w:r>
        <w:t>Die IV-Stelle beantragte mit Beschwerdeantwort vom 3 0. August 2013 die Abweisung der Beschwerde ( Urk. 5) .</w:t>
      </w:r>
    </w:p>
    <w:p>
      <w:r>
        <w:t>Am 7. Februar 2014 erstattete der Beschwerdeführer eine Replik ( Urk. 10), reichte einen ärztlichen Bericht ( Urk. 11) ein und stellte einen weiteren in Aus sicht ( Urk. 10 S. 2). Am 3. März 2014 verzichtete die Beschwerdegegnerin auf Duplik ( Urk. 13), was dem Beschwerdeführer am 5. März 2014 zur Kenntnis gebracht wurde ( Urk. 14). Das Gericht</w:t>
      </w:r>
    </w:p>
    <w:p>
      <w:r>
        <w:t>zieht in Erwägung: 1.</w:t>
      </w:r>
    </w:p>
    <w:p>
      <w:r>
        <w:rPr>
          <w:b/>
        </w:rPr>
        <w:t>E. 2.2</w:t>
      </w:r>
    </w:p>
    <w:p>
      <w:r>
        <w:t>, 8C_768/2011 vom 7. Februar 2012 E. 5.3.3, 9C_748/2011 vom 1.</w:t>
      </w:r>
    </w:p>
    <w:p>
      <w:r>
        <w:t>De zember 2011 E. 3.3, 9C_400/2010 vom 9. September 2010 [in BGE 136 V 376 nicht publizierte] E. 5.2, 9C_865/2009 vom 3. Dezember 2009 E. 3.2, 9C_24/2008 vom 2 7. Mai 2008 E. 2.3.2, 9C_801/2007 vom 7. Februar 2008 E.</w:t>
      </w:r>
    </w:p>
    <w:p>
      <w:r>
        <w:t>3.2.2, I 783/05 vom 1 8. April 2006 und I 506/00 vom 1 3. Juni 2001 , sowie der im Strafrec ht ergangene BGE 124 I 170 E. 4 ) .</w:t>
      </w:r>
    </w:p>
    <w:p>
      <w:r>
        <w:rPr>
          <w:b/>
        </w:rPr>
        <w:t>E. 2.5</w:t>
      </w:r>
    </w:p>
    <w:p>
      <w:r>
        <w:t>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 teilung der Frage, welche Arbeitsleistungen der versicherten Person noch zuge mutet werden können (BGE 125 V 256 E. 4 mit Hinweisen; AHI 2002 S. 70 E.</w:t>
      </w:r>
    </w:p>
    <w:p>
      <w:r>
        <w:t>4b/cc). Invaliditätsgrad und R entenanspruch ( „Berentung“ ) hingegen sind Fra gen, die nicht von der Medizin, sondern von der Rechtsanwendung zu beant wor ten sind.</w:t>
      </w:r>
    </w:p>
    <w:p>
      <w:r>
        <w:rPr>
          <w:b/>
        </w:rPr>
        <w:t>E. 3</w:t>
      </w:r>
    </w:p>
    <w:p>
      <w:r>
        <w:t>.1</w:t>
      </w:r>
    </w:p>
    <w:p>
      <w:r>
        <w:t>Die Beschwerdegegnerin ging in der angefochtenen Verfügung davon aus, eine Veränderung des Gesundheitsschadens sei lediglich für die Zeit der Hospitalisa tion vom 2 2. November bis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