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IV.2013.00278 vom 30. November 2013</w:t>
      </w:r>
    </w:p>
    <w:p>
      <w:r>
        <w:t>ZH Sozialversicherungsgericht, 2013-11-30, DE</w:t>
      </w:r>
    </w:p>
    <w:p>
      <w:r>
        <w:rPr>
          <w:b/>
        </w:rPr>
        <w:t xml:space="preserve">Quelle: </w:t>
      </w:r>
      <w:r>
        <w:t>https://mcp.opencaselaw.ch/entscheid/zh_sozialversicherungsgericht_IV.2013.00278</w:t>
      </w:r>
    </w:p>
    <w:p>
      <w:r>
        <w:t>FR: ZH_SOZIALVERSICHERUNGSGERICHT IV.2013.00278 du 30 novembre 2013</w:t>
      </w:r>
    </w:p>
    <w:p>
      <w:r>
        <w:t>IT: ZH_SOZIALVERSICHERUNGSGERICHT IV.2013.00278 del 30 novembre 2013</w:t>
      </w:r>
    </w:p>
    <w:p>
      <w:pPr>
        <w:pStyle w:val="Heading2"/>
      </w:pPr>
      <w:r>
        <w:t>Erwägungen</w:t>
      </w:r>
    </w:p>
    <w:p>
      <w:r>
        <w:rPr>
          <w:b/>
        </w:rPr>
        <w:t>E. 1.1</w:t>
      </w:r>
    </w:p>
    <w:p>
      <w:r>
        <w:t>Gemäss Art. 42 quater Abs. 1 des Bundesgesetzes über die Invalidenversicherung (IVG ) haben Versicherte, denen eine Hilflosenentschädigung der Invalidenversi cherung ausgerichtet wird ( lit . a), die zu Hause leben ( lit . b) und die volljährig sind ( lit . c), Anspruch auf einen Assistenzbeitrag.</w:t>
      </w:r>
    </w:p>
    <w:p>
      <w:r>
        <w:rPr>
          <w:b/>
        </w:rPr>
        <w:t>E. 1.2</w:t>
      </w:r>
    </w:p>
    <w:p>
      <w:r>
        <w:t>Ein Assistenzbeitrag wird für Hilfeleistungen gewährt, die von der versicherten Person benötigt werden und nicht schon von anderen Leistungen gedeckt sind. Die Hilfeleistungen müssen regelmässig und für eine bestimmte Dauer von einer natürlichen Person (Assistenzperson) erbracht werden, die nicht zu den Fami lienangehörigen gehören darf und die von der versicherten Person oder ihrer gesetzli chen Vertretung im Rahmen eines Arbeitsvertrages angestellt ist (Art. 42 quinquies , 42 sexies IVG).</w:t>
      </w:r>
    </w:p>
    <w:p>
      <w:r>
        <w:rPr>
          <w:b/>
        </w:rPr>
        <w:t>E. 1.3</w:t>
      </w:r>
    </w:p>
    <w:p>
      <w:r>
        <w:t>Hilfebedarf kann in den Bereichen alltägliche Lebensverrichtungen, Haushalts führung, gesellschaftliche Teilhabe und Freizeitgestaltung, Erziehung und Kin der betreuung, Ausübung einer gemeinnützigen oder ehrenamtlichen Tätigkeit, beruf liche Aus- und Weiterbildung, Ausübung einer Erwerbstätigkeit auf dem regu lären Arbeitsmarkt, Überwachung während des Tages und Nachtdienst aner kannt werden (Art. 39c der Verordnung über die Invalidenversicherung, IVV).</w:t>
      </w:r>
    </w:p>
    <w:p>
      <w:r>
        <w:rPr>
          <w:b/>
        </w:rPr>
        <w:t>E. 1.4</w:t>
      </w:r>
    </w:p>
    <w:p>
      <w:r>
        <w:t>Nach Art. 39e Abs. 1 IVV bestimmt die IV-Stelle den anerkannten monatlichen Hilfebedarf in Stunden. Abs. 2 von Art. 39e IV V regelt die monatlichen Höchst ansätze in Stunden für Hilfeleistungen in den einzelnen Bereichen gemäss Art. 39c IVV, die bei der Festsetzung der Hilflosenentschädigung festgehalten wurden. Die Berechnung der Höhe des Assistenzbeitrages durch die IV-Stelle er folgt pro Monat und pro Jahr (Art. 39g Abs. 1 IVV).</w:t>
      </w:r>
    </w:p>
    <w:p>
      <w:r>
        <w:rPr>
          <w:b/>
        </w:rPr>
        <w:t>E. 1.5</w:t>
      </w:r>
    </w:p>
    <w:p>
      <w:r>
        <w:t>Der Hilfebedarf wird mit Hilfe eines standardisierten Abklärungsinstrumentes (FAKT) sowohl für direkte als auch für indirekte Hilfeleistungen ermittelt. Als direkte Hilfe werden Hilfeleistungen zur Unterstü tzung oder Ausführung von Tätig keiten anerkannt. Als indirekte Hilfe werden Anleitungen, Kontrolle sowie Über wachung bei der Ausführung von Tätigkeiten anerkannt (vgl. Rz 4005 des Kreisschreibens über den Assistenzbeitrag; KSAB).</w:t>
      </w:r>
    </w:p>
    <w:p>
      <w:r>
        <w:rPr>
          <w:b/>
        </w:rPr>
        <w:t>E. 1.6</w:t>
      </w:r>
    </w:p>
    <w:p>
      <w:r>
        <w:t>Um die notwendige Einstufung für die einzelnen Hilfeleistungen zu bestimmen, müssen die IV-Stellen Aussagen der versicherten Per son, Anmerkungen der Abklärungs person so wie Erfahrungswerte berücksichtigen. Als Unterstützung sind im FAKT Fallbei spiele hinterlegt, die eine möglichst standardisierte Erfas sung erlauben ( Rz 4101 KSAB). 2.</w:t>
      </w:r>
    </w:p>
    <w:p>
      <w:r>
        <w:rPr>
          <w:b/>
        </w:rPr>
        <w:t>E. 2</w:t>
      </w:r>
    </w:p>
    <w:p>
      <w:r>
        <w:t>Dagegen erhob X.___ am 1 8. März 2013 Beschwerde mit den Anträ gen, der im Bereich Haushalt von der IV-Stelle ermittelte Zeitbedarf zur Bestimmung des Assistenzbeitrages von täglich 30 Minuten sei auf täglich 60 Minuten oder auf mindestens 56 Minuten zu erhöhen und zur Bemessung des Hilfebedarfs sei bei der Sehbehindertenhilfe C.___ über ihren Assistenzbedarf und insbesondere über den Zeitbedarf im Bereich Haushalt ein Bericht einzuho len. In prozessualer Hinsicht stellte die Beschwerdeführerin den Antrag auf Durchführung einer öffentlichen Verhandlung (Urk. 1 S. 2). Mit der der Beschwerdeführerin am 10. Mai 2013 (Urk. 8) zugestellten Beschwerdeantwort schloss die Beschwerdegegnerin auf Abweisung der Beschwerde (Urk. 6). Innert der mit Verfügung vom 10. Mai 2013 (Urk. 8) angesetzten Frist liess sich die Beschwerdeführerin replicando nicht vernehmen (Urk. 11).</w:t>
      </w:r>
    </w:p>
    <w:p>
      <w:r>
        <w:rPr>
          <w:b/>
        </w:rPr>
        <w:t>E. 2.1</w:t>
      </w:r>
    </w:p>
    <w:p>
      <w:r>
        <w:t>Die Beschwerdegegnerin hielt z usammengefasst fest , die Berechnung des Hilfebedarfs erfolge so, dass jeder Bereich weiter unterteilt werde in Teilbereiche (Art. 39c IVV). Für jeden Teilbereich müsse die Stufenhöhe bestimmt werden. Sobald diese festgelegt sei, stehe es der Abklärungsperson nicht frei, die Anzahl benötigter Minuten zu bestimmen. Vielmehr sei die Anzahl der anrechenbaren Minuten bereits in der Stufeneinteilung vorgesehen. Die anrechenbare Minutenzahl pro Stufe sei bereits im FAKT (standardisiertes Abklärungsinstrument) enthalten, welches vom Gesetzgeber erstellt worden sei. Damit sei sichergestellt, dass für den gleich hohen Hilfebedarf die gleiche Zeitbemessung angerechnet werde. Folglich sei der Ermessensspielraum für die Abklärungsperson relativ beschränkt. Dadurch werde eine standardisierte Abklärung bei rechtsgleicher Anwendung garantiert (Urk. 2 S. 1).</w:t>
      </w:r>
    </w:p>
    <w:p>
      <w:r>
        <w:rPr>
          <w:b/>
        </w:rPr>
        <w:t>E. 2.2</w:t>
      </w:r>
    </w:p>
    <w:p>
      <w:r>
        <w:t>Die Beschwerdeführerin hielt dem im Wesentlichen entgegen, ihre vielfältigen Interessen bedingten auch ausserhalb ihres Berufes einen überdurchschnittli chen Aufwand in allen Bereichen des Haushaltes und bei der Pflege des persön lichen Erscheinungsbildes. Als Blinde sei sie daher bei allen wichtigen Tätigkei ten im Haushalt auf Hilfe und Unterstützung Dritter angewiesen. Der aufge zeigte überdurchschnittliche Bedarf rechtfertige pro Tag einen Hilfebedarf von 60 Minuten oder von mindestens 56 Minuten im Sinne der im Kreisschreiben erwähnten oberen Bandbreite, was einen zusätzlichen Assistenzbedarf von 13 Stunden pro Monat bzw. einen zusätzlichen Assistenzbeitrag von Fr. 422.50 ergebe (Urk. 1 S. 3 f.). Die mit der Abklärung betraute Mitarbeiterin der Beschwerdegegnerin verfüge über keine Spezialkenntnisse und Erfahrung in der Abklärung spezifischer Bedürfnisse sehbehinderter Personen. In Anbetracht der festgestellten enormen Differenzen zwischen dem Assistenzbudget und dem zugesprochenen Assistenzbeitrag sei eine neutrale Einschätzung des Assistenzbedarfs durch einen neut ralen Experten gerechtfertigt (Urk. 1 S. 5).</w:t>
      </w:r>
    </w:p>
    <w:p>
      <w:r>
        <w:rPr>
          <w:b/>
        </w:rPr>
        <w:t>E. 2.3</w:t>
      </w:r>
    </w:p>
    <w:p>
      <w:r>
        <w:t>Streitig ist mithin, ob der Versicherten im Bereich Haushalt ein Assistenzbedarf von mindestens 56 Minuten anstatt der eruierten 30 Minuten anzurechnen und daher ein Assistenzbeitrag von Fr. 982.15 anstelle der verfügten Fr. 559.65 pro Monat zuzusprechen ist.</w:t>
      </w:r>
    </w:p>
    <w:p>
      <w:r>
        <w:t>Vorab ist jedoch zu prüfen, ob die Verfügung vom 14. Februar 2013 den Anforderungen an die Begründungspflicht genügt.</w:t>
      </w:r>
    </w:p>
    <w:p>
      <w:r>
        <w:rPr>
          <w:b/>
        </w:rPr>
        <w:t>E. 3</w:t>
      </w:r>
    </w:p>
    <w:p>
      <w:r>
        <w:t>Auf die Vorbringen der Parteien und die eingereichten Akten ist, sofern für die Entscheidfindung erforderlich, in den nachfolgenden Erwägungen ein zugehen . Das Gericht zieht in Erwägung: 1.</w:t>
      </w:r>
    </w:p>
    <w:p>
      <w:r>
        <w:rPr>
          <w:b/>
        </w:rPr>
        <w:t>E. 3.1</w:t>
      </w:r>
    </w:p>
    <w:p>
      <w:r>
        <w:t>Nach Art. 42 des Bundesgesetzes über den Allg emeinen Teil des Sozialversiche rungsrechts ( ATSG ) haben die Parteien Anspruch auf rechtliches Gehör ( Art. 57a Abs. 1 IVG).</w:t>
      </w:r>
    </w:p>
    <w:p>
      <w:r>
        <w:t>Das rechtliche Gehör dient einerseits der Sachaufklärung, andererseits stellt es ein persönlichkeitsbezogenes Mitwirkungsrecht beim Erlass eines Entscheides dar, welcher in die Rechtsstellung einer Person eingreift. Dazu gehört insbeson dere das Recht, erhebliche Beweise beizubringen, mit erheblichen Beweisanträ gen gehört zu werden und an der Erhebung we sentlicher Beweise entweder mit zuwirken oder sich zumindest zum Beweisergebnis zu äussern, wenn dieses geeignet ist, den Entscheid zu beeinflussen (vgl. BGE 127 I 56 E. 2b, 127 III 578 E. 2c, 126 V 130 E. 2a, BGE 124 V 181 E. 1a, je mit Hinweisen; Kieser , ATSG-Kommentar, Art. 42 N 11 ff).</w:t>
      </w:r>
    </w:p>
    <w:p>
      <w:r>
        <w:t>E in weiterer Aspekt des Anspruchs auf rechtliches Gehör ist das Recht auf eine Begründung, welche die versicherte Person in die Lage versetzt, einen Entscheid sachgerecht anzufechten. Um den verfassungsrechtlichen Anforderungen zu ge nügen, muss die Begründung wenigstens kurz die Überlegungen nennen, von denen sich die Behörde bei ihrem Entscheid hat leiten lassen und auf die sich der Entscheid stützt. Aus der Begründung muss jedenfalls ersichtlich werden, ob und weshalb die Behörde ein Vorbringen einer Partei für unzutreffend bezie hungsweise unerheblich hält oder ob sie es überhaupt in Betracht gezogen hat; sie darf sich nicht auf den Hinweis beschränken, die Überlegungen der versi cherten Person seien zur Kenntnis genommen und geprüft worden (ATSG-Kommentar N 38 zu Art. 49 ATSG, mit Hinweis auf BGE 124 V 182 f.). Die Be gründung muss so abgefasst sein, dass eine Anfechtung des Entscheids möglich ist (ATSG-Kommentar N 126 zu Art. 61 ATSG in Verbindung mit N 33 zu Art. 52 ATSG).</w:t>
      </w:r>
    </w:p>
    <w:p>
      <w:r>
        <w:rPr>
          <w:b/>
        </w:rPr>
        <w:t>E. 3.2</w:t>
      </w:r>
    </w:p>
    <w:p>
      <w:r>
        <w:t>In der Verfügung vom 14. Februar 2013 (Urk. 2) ist das Abklärungsergebnis in tabellarischer Form zusammengefasst. Daraus ergibt sich einzig, dass 17.22 Stunden pro Monat berücksichtigt werden, was zu einem monatlichen Assis tenzbedarf von Fr. 559.65 führt. Zudem ist notiert, dass 20.28 Stunden Dritthilfe abgezogen werden. Weder is t erkennbar, welcher Hilfe bedarf im Sinne von Art. 39c und Art. 39e IVV anerkannt wird, noch, welcher Höchstansatz insbe sondere gemäss Art. 39e Abs. 2 lit . a IVV angerechnet wird (vgl. KSAB Rz</w:t>
      </w:r>
    </w:p>
    <w:p>
      <w:r>
        <w:t>4089). Ebenfalls nicht dargelegt ist, welche Zeit abgezogen wird, die der Hilflos enentschädigung leichten Grades gemäss Art. 42 sexies Abs. 1 lit . a IVG und de n Dienstleistung en Dritter anstelle eines Hilfsmittels gemäss Art. 42 sexies Abs. 1 lit . b IVG entspricht.</w:t>
      </w:r>
    </w:p>
    <w:p>
      <w:r>
        <w:t>Eine solche Begründung genügt den Anforderungen an die Begründungspflic ht nicht,</w:t>
      </w:r>
    </w:p>
    <w:p>
      <w:r>
        <w:t>da die massgeblichen Überlegungen , welche zum Entscheid geführt habe n nicht genannt werden . Die Verfügung muss auch ohne professionelle Hilfe wenigstens in den Grundzügen nachvollzogen werden kön nen, gerade auch im vorliegenden Rechtsgebiet, handelt es sich doch bei der Assistenzentschädigung um eine Materie, die der allgemeinen Anschauung ohne weiteres zugänglich ist.</w:t>
      </w:r>
    </w:p>
    <w:p>
      <w:r>
        <w:t>Damit ist die Verfügung nur schon aus diesem Grunde aufzuheben und die Sache an die Vorinstanz zur rechtsgenüglichen Begründung zurückzuweisen.</w:t>
      </w:r>
    </w:p>
    <w:p>
      <w:r>
        <w:rPr>
          <w:b/>
        </w:rPr>
        <w:t>E. 3.3</w:t>
      </w:r>
    </w:p>
    <w:p>
      <w:r>
        <w:t>Der Mangel wird auch nicht durch den 95-seitigen FAKT-Ausdruck (Urk. 7/213) , der den Akten beiliegt, beseitigt, zumal dieser unü bersichtlich und auch nicht selbsterklärend ist. Weder verfügt er über ein Inhaltsverzeichnis, noch sind die massgeblichen Gesetzes- und Verordnungsbestimmungen bei den einzelnen Berechnungsschritten angegeben (Urk. 7/213/46). Weiter ist unklar, wie die Ermittlung des Bedarfs in den einzelnen Teilbereichen zustande kommt und ob es sich um einen Numerus Clausus möglicher Begründungen der jeweiligen Stufe handelt. Ebenfalls nicht ersichtlich ist, ob die Begründungsbeispiele bloss – wie vermutet – alternativ oder auch kumulativ verwendet werden können. Zudem kann allein gestützt auf den FAKT-Ausdruck nicht nachvollzogen wer den, ob sich hinter den verschiedenen Begründungsbeispielen immer dieselbe – und falls nicht, dann welche – Anzahl Minuten Hilfebedarf versteckt, das zu erfahren aber notwendig wäre, um abschätzen zu können, ob die Verwaltung in ihrem Abklärungsinstrument angemessene generell-abstrakt e Einschätzungen getroffen hat.</w:t>
      </w:r>
    </w:p>
    <w:p>
      <w:r>
        <w:t>Damit ist zu beanstanden, dass die Beschwerdegegnerin nicht sämtliche Begründungsbeispiele samt damit verbundener Minutenzahl offenlegte, weshalb die Beschwerdeführerin in Unkenntnis der hinterlegten Zeiten für die verschiedenen Stufen kaum in der Lage war , die Verfügung sachgerecht anzufechten . Die Sache ist daher auch zur Offenlegung des dem FAKT zugrunde gelegten Berechnungsschlüssels an die Beschwerdegegnerin zurückzuweisen, damit das Gericht im Beschwerdefall</w:t>
      </w:r>
    </w:p>
    <w:p>
      <w:r>
        <w:t>die im FAKT getroffenen generell-abstrakten Einschätzungen sowie das Ermessen der Abklärungsperson im konkreten Fall überprüfen und, falls substantiiert gerügt, korrigieren kann.</w:t>
      </w:r>
    </w:p>
    <w:p>
      <w:r>
        <w:rPr>
          <w:b/>
        </w:rPr>
        <w:t>E. 4</w:t>
      </w:r>
    </w:p>
    <w:p>
      <w:r>
        <w:t>.</w:t>
      </w:r>
    </w:p>
    <w:p>
      <w:r>
        <w:t>Bei diesem Ausgang des Verfahrens kann von der Durchführung der von der Beschwerdeführerin beantragten öffentlichen Verhandlung abgesehen werden.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HurstOnyetube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