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IV.2013.00151 vom 9. Januar 2014</w:t>
      </w:r>
    </w:p>
    <w:p>
      <w:r>
        <w:t>ZH Sozialversicherungsgericht, 2014-01-09, DE</w:t>
      </w:r>
    </w:p>
    <w:p>
      <w:r>
        <w:rPr>
          <w:b/>
        </w:rPr>
        <w:t xml:space="preserve">Quelle: </w:t>
      </w:r>
      <w:r>
        <w:t>https://mcp.opencaselaw.ch/entscheid/zh_sozialversicherungsgericht_IV.2013.00151</w:t>
      </w:r>
    </w:p>
    <w:p>
      <w:r>
        <w:t>FR: ZH_SOZIALVERSICHERUNGSGERICHT IV.2013.00151 du 9 janvier 2014</w:t>
      </w:r>
    </w:p>
    <w:p>
      <w:r>
        <w:t>IT: ZH_SOZIALVERSICHERUNGSGERICHT IV.2013.00151 del 9 gennaio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1974, Mutter von 2 Töchtern (Jahrgang 2002 und 2007) ,</w:t>
      </w:r>
    </w:p>
    <w:p>
      <w:r>
        <w:t>arbeitete zuletzt von 1999 bis 2005 als Servicemitarbeiterin im Café</w:t>
      </w:r>
    </w:p>
    <w:p>
      <w:r>
        <w:t>ihres Ehemannes ( Urk. 7/9 Ziff. 6.3.1 ). Am 1 7. Dezember 2004 meldete sie sich bei der Sozialversicherungsanstalt des Kantons Zürich, IV-Stelle , wegen psychi schen Problemen, Panik, Angstzustände n , Depressionen und Angst vor Menschen und der Umgebung zum Bezug einer Invalidenrente an ( Urk. 7/9). Die So zial versicherungsanstalt des Kantons Zürich, IV-Stelle , holte einen medizini sche n Bericht ( Urk. 7/24), Auszü g e aus dem individuellen Konto der Versicher ten (IK-Auszug; Urk. 7/12 , Urk. 7/33 ) ein , zog Akten des Krankentaggeldversi cherers bei ( Urk. 7/18) und liess die Versicherte psychiatrisch begutachten ( Urk. 7/26, Urk. 7/28). Die IV-Stelle sprach der Versicherten mit Verfügung vom 2 4. April 2006 ( Urk. 7/39) eine ganze Invalidenrente (samt einer Kinderrente)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