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IV.2013.00041 vom 4. März 2014</w:t>
      </w:r>
    </w:p>
    <w:p>
      <w:r>
        <w:t>ZH Sozialversicherungsgericht, 2014-03-04, DE</w:t>
      </w:r>
    </w:p>
    <w:p>
      <w:r>
        <w:rPr>
          <w:b/>
        </w:rPr>
        <w:t xml:space="preserve">Quelle: </w:t>
      </w:r>
      <w:r>
        <w:t>https://mcp.opencaselaw.ch/entscheid/zh_sozialversicherungsgericht_IV.2013.00041</w:t>
      </w:r>
    </w:p>
    <w:p>
      <w:r>
        <w:t>FR: ZH_SOZIALVERSICHERUNGSGERICHT IV.2013.00041 du 4 mars 2014</w:t>
      </w:r>
    </w:p>
    <w:p>
      <w:r>
        <w:t>IT: ZH_SOZIALVERSICHERUNGSGERICHT IV.2013.00041 del 4 marzo 2014</w:t>
      </w:r>
    </w:p>
    <w:p>
      <w:pPr>
        <w:pStyle w:val="Heading2"/>
      </w:pPr>
      <w:r>
        <w:t>Erwägungen</w:t>
      </w:r>
    </w:p>
    <w:p>
      <w:r>
        <w:rPr>
          <w:b/>
        </w:rPr>
        <w:t>E. 1</w:t>
      </w:r>
    </w:p>
    <w:p>
      <w:r>
        <w:t>Der am 11. Oktober 2008 frühgeborene X.___ wurde nach der Geburt wegen eines Atemnotsyndroms und einer Hypoglykämie im Sinne der Geburtsgebrechen Ziffer 497 (schwere respiratorische Adaptationsstörungen) und</w:t>
      </w:r>
    </w:p>
    <w:p>
      <w:r>
        <w:t>Ziffer 498 (schwere neonatale metabolische Störungen) gemäss Anhang zur Ver ordnung über Geburtsgebrechen ( GgV -Anha ng) in der Klinik für Neonatolo gie des S pitals Z .___ behande lt (Urk. 8/3), wofür die Sozial versi cherungsanstalt des Kantons Zürich, IV-Stelle, nach am 26. Oktober 2008 erfol g ter Anmeldung bei der Invalidenversicherung (Urk. 8/1) Kostengutsprache er teil te (Mitteilung vom 18. Dezember 2008 [Urk. 8/4]). Später erbrachte sie über dies</w:t>
      </w:r>
    </w:p>
    <w:p>
      <w:r>
        <w:t>Leistungen im Zusammenhang mit den Geburtsgebrechen Ziffer 313 (angebo rene</w:t>
      </w:r>
    </w:p>
    <w:p>
      <w:r>
        <w:t>Herz- und Gefässmissbildungen) und Ziffer 395 (leicht e cerebrale Be wegungsstö rungen) sowie Ziffer 390 (angeborene cerebrale Lähmungen) GgV -Anhang (Mit tei lungen vom 5. und 22. Februar 2010 [Urk. 8/12, Urk. 8/14] sowie vom 16. Feb ruar 2011 [Urk. 8/18-19]).</w:t>
      </w:r>
    </w:p>
    <w:p>
      <w:r>
        <w:t>Auf Gesuch vom 28. Juni 2011 hin (Urk. 8/20) gewährte die IV-Stelle dem Ver sicherten insbesondere gestützt auf die Vorortabklärung vom 27. Oktober 2011 (Bericht vom 1. November 2011 [Urk. 8/26]) und ihre ergänzenden Erhebungen vom 22. Dezember 2011 (Stellungnahme vom 5. Januar 2012 [Urk. 8/32]) eine Hilf lo senentschädigung leichte n Grades ab 1. Juli 2011 (Verfü gung vom 22. De zem ber 2011 [Urk. 8/29]) und eine solche mittlere n Grades ab 1. Januar 2012 (Verfügung vom 15. Feb ruar 2012 [Urk. 8/33]).</w:t>
      </w:r>
    </w:p>
    <w:p>
      <w:r>
        <w:t>Im Rahmen eines amtlichen Revisionsverfahrens fand am 31. Oktober 2012 eine weitere</w:t>
      </w:r>
    </w:p>
    <w:p>
      <w:r>
        <w:t>A bklärung beim Versicherten zuhause statt (Bericht vom 2. November 2012 [Urk. 8/38]). Nach D urch führung des</w:t>
      </w:r>
    </w:p>
    <w:p>
      <w:r>
        <w:t>Vorbescheidverfahren s ( Vorbescheid vom 2. November 2012 [ Urk. 8/39 ] ) reduzierte die IV-Stelle mit Verfügung vom 17. Dezember 2012 (Urk. 2) die Hilflosenentschädigung auf eine solche leichten Grades</w:t>
      </w:r>
    </w:p>
    <w:p>
      <w:r>
        <w:t>und entschied, die Vorausset zungen für einen Intensivpflege zuschlag seien weiterhin nicht erfüllt.</w:t>
      </w:r>
    </w:p>
    <w:p>
      <w:r>
        <w:rPr>
          <w:b/>
        </w:rPr>
        <w:t>E. 1.1</w:t>
      </w:r>
    </w:p>
    <w:p>
      <w:r>
        <w:t>Die Bestimmungen und Grundsät ze über die Hilflosigkeit (Art. 9 des Bundes ge set zes über den Allgemeinen Teil des Sozialversicherungsrechts [ ATSG ] ), die bei der Abgrenzung der drei Hilflosigkeitsgrade zu beachtenden Unterscheidungs kriterien (Art. 42 Abs.</w:t>
      </w:r>
    </w:p>
    <w:p>
      <w:r>
        <w:rPr>
          <w:b/>
        </w:rPr>
        <w:t>E. 1.2</w:t>
      </w:r>
    </w:p>
    <w:p>
      <w:r>
        <w:t>Bei M inderjährigen ist nur der Mehrbedarf an Hilfeleistung und persönlicher Überwachung im Vergleich zu nicht behinderten Minderjährigen gleichen Alters zu berücksichtigen (Art.</w:t>
      </w:r>
    </w:p>
    <w:p>
      <w:r>
        <w:t>37 Abs.</w:t>
      </w:r>
    </w:p>
    <w:p>
      <w:r>
        <w:rPr>
          <w:b/>
        </w:rPr>
        <w:t>E. 1.3</w:t>
      </w:r>
    </w:p>
    <w:p>
      <w:r>
        <w:t>Bei der Erarbeitung der Grundlagen für die Bemessung der Hilflosigkeit ist eine enge, sich ergänzende Zusammenarbeit zwischen Arzt und Verwaltung erfor der lich. Ersterer hat anzugeben, inwiefern die versicherte Person in ihren kör per lichen beziehungsweise geistigen Funktionen durch das Leiden eingeschränkt ist. Der Versicherungsträger kann an Ort und Stelle weitere Abklärungen vor nehmen. Bei Unklarheiten üb er physische oder psychische respektive</w:t>
      </w:r>
    </w:p>
    <w:p>
      <w:r>
        <w:t>geistige Störungen oder deren Auswirkungen auf alltägliche Lebensverrichtungen sind Rückfragen an die medizinischen Fachpersonen nicht nur zulässig, sondern not wendig. Weiter sind die Angaben der Hilfe leistenden Personen zu berücksich ti gen, wobei divergierende Meinungen der Beteiligten im Bericht aufzuzeigen sind.</w:t>
      </w:r>
    </w:p>
    <w:p>
      <w:r>
        <w:t>Der Berichtstext schliesslich muss plausibel, begründet und detailliert be züglich der einzelnen alltäglichen Lebensverrichtungen sowie der tatbestandsmässigen Erfordernisse der dauernden persönlichen Überwachung und der Pfle ge sein. Schliesslich hat er in Übereinstimmung mit den an Ort und Stelle erho benen An gaben zu stehen. Das Gericht greift, sofern der Bericht eine zuverläs sige Ent scheidungsgrundlage im eben umschriebenen Sinne darstellt, in das Er messen der die Abklärung tätigenden Person nur ein, wenn klar feststellbare Fehlein schätz ungen vorliegen. Das gebietet insbesondere der Umstand, dass die fachlich kom p etente Abklärungsperson näher am konkreten Sachverhalt ist als das im Beschwerdefall z uständige Gericht (BGE 130 V 61 E. 6.2 , Urteil des Bundes ge richts 9C_428/2011 vom 30. März 2012 E. 2).</w:t>
      </w:r>
    </w:p>
    <w:p>
      <w:r>
        <w:rPr>
          <w:b/>
        </w:rPr>
        <w:t>E. 1.4</w:t>
      </w:r>
    </w:p>
    <w:p>
      <w:r>
        <w:t>Ändert sich der Grad der Hilflosigkeit in erhebl icher Weise, so wird die Hilflo senentschädigung von Amtes wegen oder auf Gesuch hin für die Zukunft ent sprechend erhöht, herabgesetzt oder aufgehoben (Art. 17 Abs. 1 und 2 ATSG in Verbindung mit Art. 35 Abs. 2 IVV). 2.</w:t>
      </w:r>
    </w:p>
    <w:p>
      <w:r>
        <w:rPr>
          <w:b/>
        </w:rPr>
        <w:t>E. 2</w:t>
      </w:r>
    </w:p>
    <w:p>
      <w:r>
        <w:t>des Bundesgesetzes über die Invalidenversiche rung [ IVG ] in Verbindu ng mit Art. 37 Abs. 1 bis 3 der Verordnung über die In vali den ver si che rung [ IVV ] ) einschliesslich der massgebenden sechs alltäglichen Lebensver richtungen (Ankleiden/Auskleiden, Aufstehen/Absitzen/Abliegen, Es sen , Körper pflege , Verrichtung der Notdurft , Fortbewegung/ Kontaktaufnahme; BGE 127 V 94 E. 3c, 125 V 297 E. 4a ) sowie die Voraussetzungen für die Aus richtung eines Intensivpflegezuschlag es für Minderjährige (Art. 42 ter Abs. 3 IVG in Verbindung mit Art. 39 IVV) wurden in der angefochtenen Verfügung (Urk. 2 S.</w:t>
      </w:r>
    </w:p>
    <w:p>
      <w:r>
        <w:t>1 f.) im We sentlichen zutreffend dargelegt (Urk. 2 S. 1 f.). Darauf kann – mit den nach folgenden Ergänzungen – verwiesen werden.</w:t>
      </w:r>
    </w:p>
    <w:p>
      <w:r>
        <w:rPr>
          <w:b/>
        </w:rPr>
        <w:t>E. 2.1</w:t>
      </w:r>
    </w:p>
    <w:p>
      <w:r>
        <w:t>Die Beschwerdegegnerin begründete die Hera bsetzung der Hilflosenentschädi gung damit, dass der Versicherte aufgrund seiner Behinderung nurmehr in drei statt vormals vier alltäglichen Lebensverrichtungen – namentlich in den Berei chen An-/Auskleiden, Essen und Verrichtung der Notdurft – auf regelmässige und erhebl iche Dritthilfe angewiesen sei , wogegen beim Aufstehen/Absitzen/Ab liegen, bei der Körperpflege und der Fo rtbewegung/Kontaktaufnahme kein relevante r Mehraufwand bestehe. Überdies erfolge die persönliche Überwachung in einem altersentsprechenden Ausmass ( Urk. 2 S. 2 f. ,</w:t>
      </w:r>
    </w:p>
    <w:p>
      <w:r>
        <w:t>Urk. 7).</w:t>
      </w:r>
    </w:p>
    <w:p>
      <w:r>
        <w:rPr>
          <w:b/>
        </w:rPr>
        <w:t>E. 2.2</w:t>
      </w:r>
    </w:p>
    <w:p>
      <w:r>
        <w:t>Dem hielt die Mutter des Versicherten unter Hinweis auf die beschwerdeweise ins Recht gelegten medizinischen Unterlagen (Urk. 3/1-3) entgegen, ihr Sohn be nö tige</w:t>
      </w:r>
    </w:p>
    <w:p>
      <w:r>
        <w:t>behinderungsbedingt auch bei den alltäglichen Lebensverrichtungen Kör per pflege und Fortbewegung/Kontaktaufnahme relevante Dritthilfe . Zu dem müsse er infolge Selbst- und Fremdgefährdung dauernd persönlich überwacht werden, sehe nicht so gut und könne nicht sprechen. Insgesamt sei mindestens von einer mitt elschweren Hilflosigkeit auszugehen (Urk. 1). 3. 3.1</w:t>
      </w:r>
    </w:p>
    <w:p>
      <w:r>
        <w:t>Streitig und zu prüfen ist die Herabsetzung der Hilflosenentschädigung mittle ren Grades auf eine solche leichten Grades. Dabei ist unbestritten , dass der Ver sicherte in den drei alltäglichen Lebensverrichtungen An-/Auskleiden, Essen und</w:t>
      </w:r>
    </w:p>
    <w:p>
      <w:r>
        <w:t>Verrichtung der Notdurft weiterhin regelmässig in erheblicher Weise der Hilfe Dritter bedarf. Ausser Frage steht sodann , dass er</w:t>
      </w:r>
    </w:p>
    <w:p>
      <w:r>
        <w:t>zwischen zeitlich</w:t>
      </w:r>
    </w:p>
    <w:p>
      <w:r>
        <w:t>beim Auf stehen/Absitzen/Abliegen selbständig ist.</w:t>
      </w:r>
    </w:p>
    <w:p>
      <w:r>
        <w:t>Uneins sind sich die Parteien indes da rüber , wie es sich mit de n anderen beiden al ltäglichen Lebensverrichtungen – der Körperpflege und der Fortbewegung/Kontaktaufnahme – verhält und ob die Notwendigkeit einer dauernden persönlichen Überwachung zu bejahen ist. 3.2</w:t>
      </w:r>
    </w:p>
    <w:p>
      <w:r>
        <w:t>3.2.1</w:t>
      </w:r>
    </w:p>
    <w:p>
      <w:r>
        <w:t>Die Beschwerdegegnerin stützte den</w:t>
      </w:r>
    </w:p>
    <w:p>
      <w:r>
        <w:t>strittigen Herabsetzungsentscheid auf den revisionsweise erstellten</w:t>
      </w:r>
    </w:p>
    <w:p>
      <w:r>
        <w:t>B ericht vom 2. November 2012 (Urk. 8/38) betreffend die Vorortabklärung vom 31. Oktober 201 2. Darin wurde hinsichtlich der im Streit liegenden</w:t>
      </w:r>
    </w:p>
    <w:p>
      <w:r>
        <w:t>Anspruchsvoraussetzungen</w:t>
      </w:r>
    </w:p>
    <w:p>
      <w:r>
        <w:t>vermerkt , die Körperpflege erfolge beim Versicherten altersentsprechend vollständig durch eine Drittperson (S. 2).</w:t>
      </w:r>
    </w:p>
    <w:p>
      <w:r>
        <w:t>Unverändert zum Vorbericht vom 1. November 2011 (Urk. 8/26) könne er sich in der Wohnung wie auch im Freien selbstän dig fortbe wegen. Sofern ein Gelän der vorhanden sei, könne der Versicherte eine Treppe alleine im Abstellschritt hinauf- und hinuntergehen . V erbal könne er sich nicht verständigen. Er teile seine Bedürfnisse durch lachen, weinen oder dadurch mit, indem er auf etwas zeige. Für Hunger und Durst verwende der Versicherte spezielle Zeichen mit den Fingern. Einfache Aufforderungen verst ehe er . Die persönliche Überwachung des Versicherten sei alters entsprechend (S. 3). 3.2.2</w:t>
      </w:r>
    </w:p>
    <w:p>
      <w:r>
        <w:t>Zusätzliche Abklärungen tätigte die Beschwerdegegnerin im Revisionsverfahren nicht. Insbesondere verzichtete sie darauf , bei den behandelnden Fachpersonen ( Ärzte und Therapeuten) aktuelle Bericht e einzu holen .</w:t>
      </w:r>
    </w:p>
    <w:p>
      <w:r>
        <w:t>Dementsprechend lagen der Abklärungsperson anlässlich der Erhebung vom 31. Oktober 2012</w:t>
      </w:r>
    </w:p>
    <w:p>
      <w:r>
        <w:t>nur</w:t>
      </w:r>
    </w:p>
    <w:p>
      <w:r>
        <w:t>die ihr bereits aus der Erstabklärung vom 27. Oktober 2011 (Urk. 8/26) bekannten me di zini schen Unterlagen vor, welche</w:t>
      </w:r>
    </w:p>
    <w:p>
      <w:r>
        <w:t>den Zeitraum bis Mitte September 2011 beschla gen . Fehlt es demnach an einer aktuellen medizinischen Einschätzung und an der er forderlichen Zusammenarbeit zwischen Arzt und Beschwerdegeg nerin, kann dem Abklärungsbericht vom 2. No vember 2012 (Urk. 8/38) kein Be weiswert zuerkannt werden ( vgl. E. 1.3</w:t>
      </w:r>
    </w:p>
    <w:p>
      <w:r>
        <w:t>hievor ). 3.3 3.3.1</w:t>
      </w:r>
    </w:p>
    <w:p>
      <w:r>
        <w:t>Hinzu kommt, dass die Abklärungsperson den Hilfsbedarf bei der Körperpflege wie auch die persönliche Überwachungsbedürftigkeit ohne nähere Ausführun gen als alters entsprechend einstufte und es in Bezug auf die Kontaktaufnahme bei der Feststellung bewenden liess, der Versi cherte könne sich verbal nicht ver ständigen und gebe seine Bedürfnisse ander weitig (lachen, weinen, zeigen, spe zielle Fingerzeic hen für Hunger und Durst) kund ( E. 3.2.1 ). Diese Ausführun gen erwecken den Eindruck , dass – was die strittige Körperpflege, die Fortbewe gung / Kontaktaufnahme und die persönliche Überwachungsbedürftigkeit betrifft – bei der Ermittlung des M ehr be darf e s im Sinne von Art. 37 Abs.</w:t>
      </w:r>
    </w:p>
    <w:p>
      <w:r>
        <w:rPr>
          <w:b/>
        </w:rPr>
        <w:t>E. 4</w:t>
      </w:r>
    </w:p>
    <w:p>
      <w:r>
        <w:t>Folglich erweist sich der massgebliche Sachverh alt als nicht genügend erstellt , weshalb die angefochtene Verfügung vom 17. Dezember 2012 (Urk. 2) aufzuhe ben und die Streitsache an die Beschwerdegegnerin zurückzuweisen ist, damit diese die tatsächlichen Verhältnisse rechtsgenüglich abkläre und hernach über den weiteren Anspruch des Versicherten auf eine Hilflo s enentschädigung neu entscheide.</w:t>
      </w:r>
    </w:p>
    <w:p>
      <w:r>
        <w:t>In diesem Sinne ist die Beschwerde gutzuheissen.</w:t>
      </w:r>
    </w:p>
    <w:p>
      <w:r>
        <w:rPr>
          <w:b/>
        </w:rPr>
        <w:t>E. 5</w:t>
      </w:r>
    </w:p>
    <w:p>
      <w:r>
        <w:t>00.-- fest zusetzen und ausgangsgemäss der Beschwerdegegnerin aufzuerlegen. Das Gericht erkennt: 1.</w:t>
      </w:r>
    </w:p>
    <w:p>
      <w:r>
        <w:t>Die Beschwerde wird in dem Sinne gutgeheissen, dass die angef ochtene Verfügung vom 17. Dezem ber 2012 aufgehoben und die Sache an die Sozialversicherungsanstalt des Kantons Zürich, IV-Stelle, zurückgewiesen wird, damit diese nach erfolgter Ab klärung im Sinne der Erwägungen über den Anspruch des Beschwerdeführers auf eine Hilflosen entschädigung neu verfüge 2.</w:t>
      </w:r>
    </w:p>
    <w:p>
      <w:r>
        <w:t>Die Gerichtskosten von Fr. 500 .-- werden der Beschwerdegegnerin auferlegt. Rech nun g und Einzahlungsschein werden der Kostenpflichtigen nach Eintritt der Rechts kraft zu gestellt. 3.</w:t>
      </w:r>
    </w:p>
    <w:p>
      <w:r>
        <w:t>Zustellung gegen Empfangsschein an: - Y.___ - Sozialversicherungsanstalt des Kantons Zürich, IV-Stelle - Bundesamt für Sozialversicherungen sowie an: - Gerichtskasse (im Dispositiv nach Eintritt der Rechtskraft) - Dr. med. B.___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