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IV.2013.00015 vom 13. Mai 2013</w:t>
      </w:r>
    </w:p>
    <w:p>
      <w:r>
        <w:t>ZH Sozialversicherungsgericht, 2013-05-13, DE</w:t>
      </w:r>
    </w:p>
    <w:p>
      <w:r>
        <w:rPr>
          <w:b/>
        </w:rPr>
        <w:t xml:space="preserve">Quelle: </w:t>
      </w:r>
      <w:r>
        <w:t>https://mcp.opencaselaw.ch/entscheid/zh_sozialversicherungsgericht_IV.2013.00015</w:t>
      </w:r>
    </w:p>
    <w:p>
      <w:r>
        <w:t>FR: ZH_SOZIALVERSICHERUNGSGERICHT IV.2013.00015 du 13 mai 2013</w:t>
      </w:r>
    </w:p>
    <w:p>
      <w:r>
        <w:t>IT: ZH_SOZIALVERSICHERUNGSGERICHT IV.2013.00015 del 13 maggio 2013</w:t>
      </w:r>
    </w:p>
    <w:p>
      <w:pPr>
        <w:pStyle w:val="Heading2"/>
      </w:pPr>
      <w:r>
        <w:t>Erwägungen</w:t>
      </w:r>
    </w:p>
    <w:p>
      <w:r>
        <w:rPr>
          <w:b/>
        </w:rPr>
        <w:t>E. 1</w:t>
      </w:r>
    </w:p>
    <w:p>
      <w:r>
        <w:t>1.1Â Â Â Â  Nach der allgemeinen Ã¼bergangsrechtlichen Regel, wonach in zeitlicher Hinsicht bei einer Ãnderung der Normenlage in der Regel diejenigen RechtssÃ¤tze der materiellen Beurteilung zu Grunde zu legen sind, die bei Verwirklichung des zu Rechtsfolgen fÃ¼hrenden Sachverhaltes in Geltung standen, richtet sich der vorliegend zu beurteilende Rentenanspruch in erster Linie nach der bis 31. Dezember 2002 geltenden Fassung des Bundesgesetzes Ã¼ber die Invalidenversicherung (IVG) und der dazu entwickelten Praxis, wie sie im RÃ¼ckweisungsurteil vom 15. Februar 2003 wiedergegeben sind (Urk. 7/68 E. 2).</w:t>
      </w:r>
    </w:p>
    <w:p>
      <w:r>
        <w:t>1.2Â Â Â Â  Zu beachten ist, dass am 1. Januar 2003 das Bundesgesetz Ã¼ber den Allgemeinen Teil des Sozialversicherungsrechts (ATSG) in Kraft getreten ist. Materiellrechtlich fÃ¤llt dies nicht ins Gewicht, weil das ATSG hinsichtlich der IV-rechtlichen Rentenzusprechung und der Rentenrevision keine substantiellen Ãnderungen gegenÃ¼ber der bis zum 31. Dezember 2002 gÃ¼ltig gewesenen Normenlage brachte, weshalb auch die unter der Geltung der altrechtlichen Bestimmungen ergangene sachbezÃ¼gliche Rechtsprechung nach wie vor beachtlich bleibt.</w:t>
      </w:r>
    </w:p>
    <w:p>
      <w:r>
        <w:t>Â Â Â Â Â Â Â Â  Per 1. Januar 2004 ist ferner das IVG revidiert und Art. 28 Abs. 1 IVG dahingehend abgeÃ¤ndert worden, dass nunmehr der Anspruch auf eine ganze Rente einen InvaliditÃ¤tsgrad von mindestens 70 % voraussetzt, der Anspruch auf eine HÃ¤rtefallrente aufgehoben wurde und ein InvaliditÃ¤tsgrad von mindestens 60 % zu einem Anspruch auf eine Dreiviertelsrente fÃ¼hrt. Nach wie vor besteht bei einem InvaliditÃ¤tsgrad von mindestens 40 % Anspruch auf eine Viertelsrente und bei einem solchen von mindestens 50 % Anspruch auf eine halbe Rente.</w:t>
      </w:r>
    </w:p>
    <w:p>
      <w:r>
        <w:t>Â Â Â Â Â Â Â Â  Weiter ist zu beachten, dass die am 1. Januar 2008 in Kraft getretenen Ãnderungen des IVG vom 6. Oktober 2006 und der Verordnung Ã¼ber die Invalidenversicherung (IVV) vom 28. September 2007 (5. IV-Revision) nach den allgemeinen Ã¼bergangsrechtlich GrundsÃ¤tzen fÃ¼r die Zeit bis zum 31. Dezember 2007 nicht anwendbar sind (vgl. BGE 132 V 215 E. 3.1.1). Auch diesbezÃ¼glich ist jedoch anzumerken, dass die fÃ¼r das vorliegende Verfahren relevanten materiellrechtlichen Bestimmungen der 5. IV-Revision - verglichen mit den bis zum 31. Dezember 2002 gÃ¼ltigen Bestimmungen - keine wesentlichen Ãnderungen erfahren haben. Gleiches gilt fÃ¼r die im Zuge der Revision 6a per 1. Januar 2012 geÃ¤nderten Gesetzesbestimmungen.</w:t>
      </w:r>
    </w:p>
    <w:p>
      <w:r>
        <w:rPr>
          <w:b/>
        </w:rPr>
        <w:t>E. 2</w:t>
      </w:r>
    </w:p>
    <w:p>
      <w:r>
        <w:t>2.1Â Â Â Â  Die Beschwerdegegnerin begrÃ¼ndete die angefochtene VerfÃ¼gung damit, dass kein Gesundheitsschaden vorliege, welcher nicht mit einer zumutbaren Willensanstrengung Ã¼berwunden werden kÃ¶nne, so dass - unter BerÃ¼cksichtigung der rheumatologischen EinschrÃ¤nkungen - von einer 100%igen ArbeitsfÃ¤higkeit auszugehen sei. Dies fÃ¼hre weder im erwerblichen Bereich noch im Bereich Haushalt zu einer EinschrÃ¤nkung, welche insgesamt ein rentenbegrÃ¼ndendes Ausmass annehmen wÃ¼rde (Urk. 2).</w:t>
      </w:r>
    </w:p>
    <w:p>
      <w:r>
        <w:t>2.2Â Â Â Â  DemgegenÃ¼ber machte der Vertreter der BeschwerdefÃ¼hrerin im Wesentlichen geltend, dass Dr. C.___ die sehr umfangreichen Unterlagen des Hausarztes der BeschwerdefÃ¼hrerin leider nur sehr summarisch, oberflÃ¤chlich und rudimentÃ¤r ausgewertet habe. Zudem habe er in seiner Stellungnahme vom 28. Juli 2011 bestÃ¤tigt, dass die eingenommenen Medikamente zu SchlÃ¤frigkeit fÃ¼hren wÃ¼rden. Dabei handle es sich somit um eine unvermeidbare Nebenwirkung der Erkrankung, so dass von einer invaliditÃ¤tsbedingten MÃ¼digkeit auszugehen sei. Im Rahmen des leidensbedingten Abzuges sei zu berÃ¼cksichtigen, dass die BeschwerdefÃ¼hrerin als AuslÃ¤nderin Ã¼ber keine Deutschkenntnisse verfÃ¼ge. Nach statistischen Durchschnittswerten wÃ¼rden AuslÃ¤nderinnen rund 7 % weniger verdienen, was im vorliegenden Verfahren zu berÃ¼cksichtigen sei. Die aktuelle HaushaltsabklÃ¤rung von Frau D.___ mute weiter dem Ehegatten der BeschwerdefÃ¼hrerin unter dem Titel Schadenminderungspflicht zu viel zu. Ãberdies sei bei psychiatrischen EinschrÃ¤nkungen im Zweifelsfall auch bei der Bemessung der EinschrÃ¤nkung im Haushalt dem psychiatrischen Gutachten der Vorzug zu geben. DarÃ¼ber hinaus sei die AbklÃ¤rung der somatischen Beschwerden durch Dr. B.___ nur ungenÃ¼gend - etwa ohne bildgebende AbklÃ¤rungen - erfolgt. FÃ¼r eine genÃ¼gende AbklÃ¤rung werde wohl ein neues interdisziplinÃ¤res Gutachten nÃ¶tig sein (Urk. 1).</w:t>
      </w:r>
    </w:p>
    <w:p>
      <w:r>
        <w:rPr>
          <w:b/>
        </w:rPr>
        <w:t>E. 3</w:t>
      </w:r>
    </w:p>
    <w:p>
      <w:r>
        <w:t>3.1Â Â Â Â  Mit Urteil vom 3. April 2006 hielt das EVG insbesondere fest, dass die Versicherte auf Ã¤rztliche Verordnung hin Psychopharmaka eingenommen habe. Es sei somit nicht auszuschliessen, dass zumindest bis zum Zeitpunkt des Gutachtens vom 10. Mai 2004 eine invaliditÃ¤tsbedingt erhÃ¶hte MÃ¼digkeit und Energielosigkeit bestanden habe, welche die ArbeitsfÃ¤higkeit im erwerblichen Bereich und im Haushalt zusÃ¤tzlich eingeschrÃ¤nkt habe, allenfalls in Form wechselseitiger, durch die Beanspruchung im jeweils anderen TÃ¤tigkeitsfeld bedingter Leistungseinbussen. Aufgrund der vorliegenden Akten sei ebenfalls unklar, ob die als notwendig erachtete ArbeitsangewÃ¶hnung im halbstationÃ¤ren oder stationÃ¤ren Rahmen ein fÃ¼r die InvaliditÃ¤tsbemessung unbeachtlicher Umstand sei. Zuletzt kÃ¶nne auf die HaushaltsabklÃ¤rung vom 6. Juni 2000 nicht abgestellt werden. Insgesamt sei die Sache an die Beschwerdegegnerin zu weiteren AbklÃ¤rungen zurÃ¼ckzuweisen (Urk. 7/107).</w:t>
      </w:r>
    </w:p>
    <w:p>
      <w:r>
        <w:t>Â Â Â Â Â Â Â Â  Dem Urteil des hiesigen Gerichts vom 30. September 2009 ist zu entnehmen, dass die in der Folge neu eingeholten Gutachten (A.___-Gutachten vom 14. Dezember 2006, Gutachten von Dr. B.___ vom 30. Juni 2007) zu den vom EVG aufgeworfenen Themenkreisen kaum verwertbare Antworten geben. Im konkreten Fall erscheine es daher angezeigt, zunÃ¤chst von den behandelnden Ãrzten, welche die entsprechenden Medikamente abgegeben hÃ¤tten, eine umfassende Krankengeschichte einzuholen. Aus dieser sollte ersichtlich sein, welche Medikamente die BeschwerdefÃ¼hrerin ab Krankheitsbeginn eingenommen, wie sie diese vertragen und ob aufgrund allfÃ¤lliger Nebenwirkungen die Umstellung auf andere PrÃ¤parate zur Diskussion gestanden habe. In einem zweiten Schritt seien die Angaben des Hausarztes beziehungsweise der behandelnden Ãrzte von einer Fachperson beurteilen zu lassen, welche sich insbesondere dazu Ã¤ussern sollte, ob die klinischen Angaben aus theoretischer Sicht nachvollziehbar seien, oder ob der BeschwerdefÃ¼hrerin bei einer zumutbaren Willensanstrengung die Ãberwindung der MÃ¼digkeit mÃ¶glich gewesen wÃ¤re. Eine solche objektivierte EinschÃ¤tzung der Sachlage sei schon deshalb unerlÃ¤sslich, da in Bezug auf Berichte von HausÃ¤rzten der Erfahrungstatsache Rechnung zu tragen sei, dass diese mitunter im Hinblick auf ihre auftragsrechtliche Vertrauensstellung in ZweifelsfÃ¤llen eher zu Gunsten ihrer Patientinnen und Patienten aussagen wÃ¼rden (BGE 125 V 353 Erw. 3b/cc). Zudem handle es sich bei der Angabe, vermehrt an MÃ¼digkeit zu leiden, um eine rein subjektive Klage, so dass es gerechtfertigt erscheine - analog der Rechtsprechung zur somatoformen SchmerzstÃ¶rung - eine gewisse Objektivierung des Sachverhalts zu verlangen (Urk. 7/143).</w:t>
      </w:r>
    </w:p>
    <w:p>
      <w:r>
        <w:t>Â Â Â Â Â Â Â Â  Zu prÃ¼fen bleibt, ob die Beschwerdegegnerin nunmehr dem AbklÃ¤rungsauftrag gemÃ¤ss EVG-Urteil vom 3. April 2006 sowie Urteil des hiesigen Gerichts vom 30. September 2009 in rechtsgenÃ¼glicher Weise nachgekommen ist.</w:t>
      </w:r>
    </w:p>
    <w:p>
      <w:r>
        <w:t>3.2Â Â Â Â  Mit Schreiben vom 27. Juni 2011 reichte der Hausarzt der BeschwerdefÃ¼hrerin die vollstÃ¤ndige Krankengeschichte seiner Patientin ein unter Beilage einer Auflistung der abgegebenen Medikamente (Urk. 7/153 ff.). Der dem Regionalen Ãrztlichen Dienst (RAD) zugehÃ¶rende Dr. med. C.___, Facharzt FMH fÃ¼r AnÃ¤sthesiologie, Ã¤usserte sich zur Medikamentenliste in seiner Stellungnahme vom 28. Juli 2011. Bei den verordneten Medikamenten handle es sich - neben den Antidepressiva - um einfache Schmerzmittel und solche der NSAR-Gruppe. Weiter habe die BeschwerdefÃ¼hrerin Medikamente gegen hohen Blutdruck, nicht insulinabhÃ¤ngigen Diabetes mellitus (seit 2009), interkurrente Infektionen, Atemwegsprobleme und MagenÃ¼bersÃ¤uerung sowie Vitamine erhalten. In WÃ¼rdigung der verabreichten Medikamente mÃ¼sse bei der Fragestellung nach Hervorrufen von MÃ¼digkeit/Adynamie das Augenmerk vor allem auf die Antidepressiva gelegt werden. Ab Juni 1998 habe die BeschwerdefÃ¼hrerin Fluctine eingenommen, was SchlÃ¤frigkeit - allerdings auch Schlaflosigkeit - verursachen kÃ¶nne. Aus der Repetierung der Rezepte kÃ¶nne auf eine tÃ¤gliche Dosis von 20 mg geschlossen werden. Aufgrund der genÃ¼gend langen Halbwertszeit kÃ¶nne das Medikament bei dieser Dosierung einmal tÃ¤glich eingenommen werden, so dass die Nebenwirkungen je nach Einnahmezeitpunkt klein gehalten werden kÃ¶nnten. Im Oktober 1998 sei einmalig Gladem verordnet worden, wobei hinsichtlich Nebenwirkungen und Einnahme die gleichen Anmerkungen zu machen seien. Ab Oktober 1999 habe die BeschwerdefÃ¼hrerin Tryptizol eingenommen. GemÃ¤ss Verordnungsfrequenz sei von einer sehr geringen Dosierung von 25 mg - und auch dies nicht alle Tage - auszugehen. Auch dieses Medikament fÃ¼hre hÃ¤ufig zu MÃ¼digkeit/SchlÃ¤frigkeit, kÃ¶nne aber ebenfalls problemlos am Abend eingenommen werden. Ab November 2001 sei auch Efexor abgegeben worden, welches wenig Einfluss auf die Psychomotorik habe. Im Oktober 2006 habe eine einmalige Abgabe des sedierend wirkenden Remeron stattgefunden. DarÃ¼ber hinaus habe die BeschwerdefÃ¼hrerin im Februar 2004 gegen Schmerzen Neurontin erhalten, welches MÃ¼digkeit verursachen kÃ¶nne. Aufgrund der Verordnungsfrequenz kÃ¶nne es aber fÃ¼r eine jahrelange MÃ¼digkeit nicht relevant sein. Das im November 2005 und Mai 2006 verabreichte Ritalin werde gelegentlich zur VerstÃ¤rkung von Antidepressiva abgegeben und reduziere die MÃ¼digkeit.</w:t>
      </w:r>
    </w:p>
    <w:p>
      <w:r>
        <w:t>Â Â Â Â Â Â Â Â  Insgesamt kÃ¶nne - so Dr. C.___ weiter - festgehalten werden, dass die eingenommenen Medikamente generell tief dosiert gewesen und nicht dauernd eingenommen worden seien, so dass sie fÃ¼r die geltend gemachte andauernde MÃ¼digkeit kaum hauptursÃ¤chlich sein kÃ¶nnten. Dies unabhÃ¤ngig davon, dass die Nebenwirkungen bei der verordneten Dosierung zum grossen Teil durch die Einnahmezeit entschÃ¤rft werden kÃ¶nnten. Eine Unzumutbarkeit der Ãberwindung von MÃ¼digkeit und passiver Lebenshaltung kÃ¶nne somit weder aufgrund der psychiatrischen Diagnosen noch mit den verabreichten Medikamenten begrÃ¼ndet werden (Urk. 7/158).</w:t>
      </w:r>
    </w:p>
    <w:p>
      <w:r>
        <w:t>3.3Â Â Â Â  Aus der vom Hausarzt der BeschwerdefÃ¼hrerin eingereichten Medikamentenliste ist ersichtlich, dass die antidepressive Therapie am 27. Mai 1998 eingeleitet wurde. Aufgrund der Wartefrist ist von einem frÃ¼hstmÃ¶glichen Rentenbeginn per 1. Mai 1999 auszugehen. Es bestand damit bereits vor diesem Zeitpunkt eine Zeitspanne von rund einem Jahr fÃ¼r die Einstellung der Medikamente, welche vom Hausarzt der BeschwerdefÃ¼hrerin auch genutzt wurde. So wurde am 27. Mai 1998 Tolvon abgegeben und bereits am 12. Juni 1998 auf Fluctine umgestellt. Im September/Oktober 1998 erfolgte ein Versuch mit Lexothanil und Gladem. Aufgrund der abgegebenen Mengen der Medikamente ist davon auszugehen, dass die BeschwerdefÃ¼hrerin spÃ¤testens ab Januar 1999 bis zum 13. Juli 1999 keine Antidepressiva mehr einnahm. Von da an wurde - wenn auch nicht durchgehend - bis zum heutigen Zeitpunkt im Wesentlichen Tryptizol verabreicht. Punktuell - und damit fÃ¼r die vorliegende Fragestellung ohne Bedeutung - wurden andere Medikamente verabreicht (5. Oktober 1999: Xanax, 21. November 2001 und 2. Juli 2004 Efexor, 8. November 2005 und 12. Mai 2006: Ritalin, 23. Oktober 2006: Remeron; Urk. 7/154). In der massgebenden Zeit ab 1. April 1999 hÃ¤tte demnach allein die Einnahme von Tryptizol zu einer lÃ¤ngerdauernden MÃ¼digkeit fÃ¼hren kÃ¶nnen. Wie Dr. C.___ jedoch in nachvollziehbarer Weise ausfÃ¼hrt, erscheint dies allein aufgrund der verabreichten Dosis, sowie der Tatsache, dass eine solche ausschliesslich am Abend eingenommen werden kann, nicht wahrscheinlich. Anzumerken ist dabei, dass die BeschwerdefÃ¼hrerin noch heute Tryptizol in der Dosierung 0-0-1 einnimmt, wie dies auch von Dr. C.___ empfohlen wurde (Urk. 7/153). Im Ãbrigen ist die Stellungnahme von Dr. C.___ fÃ¼r die vorliegend zu prÃ¼fende Frage umfassend und genÃ¼gend, so dass ohne weiteres darauf abgestellt werden kann.</w:t>
      </w:r>
    </w:p>
    <w:p>
      <w:r>
        <w:t>Â Â Â Â Â Â Â Â  Zusammenfassend kann demnach festgehalten werden, dass sich die von der BeschwerdefÃ¼hrerin geltend gemachte MÃ¼digkeit nicht mit Ã¼berwiegender Wahrscheinlichkeit auf die medikamentÃ¶se Behandlung zurÃ¼ckfÃ¼hren lÃ¤sst.</w:t>
      </w:r>
    </w:p>
    <w:p>
      <w:r>
        <w:rPr>
          <w:b/>
        </w:rPr>
        <w:t>E. 4</w:t>
      </w:r>
    </w:p>
    <w:p>
      <w:r>
        <w:t>4.1Â Â Â Â  Vor diesem Hintergrund ist davon auszugehen, dass die von der BeschwerdefÃ¼hrerin entwickelte passive Lebenshaltung, die erhÃ¶hte ErmÃ¼dbarkeit und das zu tiefe Energieniveau rein invaliditÃ¤tsfremder Natur sind und bei der InvaliditÃ¤tsbemessung ausser Acht gelassen werden mÃ¼ssen. Die eingetretene Dekonditionierung ist vor diesem Hintergrund ebenfalls invaliditÃ¤tsfremd, so dass eine allenfalls notwendige ArbeitsangewÃ¶hnung nicht zu Lasten der Invalidenversicherung gehen kann. Folglich besteht aus heutiger Sicht kein Anlass, die EinschÃ¤tzung des medizinischen Sachverhalts, wie sie im Urteil des hiesigen Gerichts vom 23. August 2005 unter Zugrundelegung der Zumutbarkeitsbeurteilung des Z.___-Gutachtens vom 10. Mai 2004, wonach wegen der geringenÂ  degenerativen VerÃ¤nderungen in der Lenden- und HalswirbelsÃ¤ule sowie in den Knien fÃ¼r eine mittelschwere bis schwere kÃ¶rperliche TÃ¤tigkeit wie diejenige einer Sortiererin bei der Y.___ keine und fÃ¼r eine leichte kÃ¶rperliche TÃ¤tigkeit unter BerÃ¼cksichtigung der eingeschrÃ¤nkten kÃ¶rperlichen Belastbarkeit bei einer Fibromyalgie eine 50%ige ArbeitsfÃ¤higkeit, aus psychiatrischer Sicht jedoch trotz anhaltender somatoformer SchmerzstÃ¶rung theoretisch keine EinschrÃ¤nkung bestehe (Urk. 7/104 S. 6 ff.), vorgenommen worden ist, in Frage zu stellen. Zu berÃ¼cksichtigen ist bei der nunmehrigen WÃ¼rdigung des Z.___-Gutachtens vom 10. Mai 2004 allerdings die seither ergangene Rechtsprechung zur Fibromyalgie (BGE 132 V 65 E. 4). Denn es gilt rechtsprechungsgemÃ¤ss, dass eine solche Ãnderung oder PrÃ¤zisierung einer bundesgerichtlichen Rechtsprechung nicht nur auf zukÃ¼nftige FÃ¤lle anwendbar ist, sondern auch auf jene FÃ¤lle, die im Zeitpunkt der Ãnderung oder der PrÃ¤zisierung der Praxis noch nicht rechtskrÃ¤ftig erledigt waren (Urteil 8C_362/2010 des Bundesgerichts vom 11. MÃ¤rz 2011 E. 4.2.3 mit weiteren Hinweisen).</w:t>
      </w:r>
    </w:p>
    <w:p>
      <w:r>
        <w:t>Â Â Â Â Â Â Â Â  Laut BGE 132 V 65 E. 4 werden die im Bereich der somatoformen SchmerzstÃ¶rungen entwickelten GrundsÃ¤tze bei der WÃ¼rdigung des invalidisierenden Charakters von Fibromyalgien analog angewendet. Demnach begrÃ¼ndet eine fachÃ¤rztlich (psychiatrisch)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Â Â Â Â Â Â Â Â  Wie bereits dem Urteil des hiesigen Gerichts vom 23. August 2005 (Urk. 7/104) sowie jenem vom 30. September 2009 (Urk. 7/143) zu entnehmen ist, leidet die BeschwerdefÃ¼hrerin in erster Linie und schwerpunktmÃ¤ssig an einer Fibromyalgie sowie an einer somatoformen SchmerzstÃ¶rung (ICD-10 F45.4, A.___-Gutachten vom 14. Dezember 2006, (Urk. 7/114; Z.___-Gutachten vom 10. Mai 2004, Urk. 7/82), wohingegen die somatischen Beschwerden nicht vordergrÃ¼ndig sind. Die WÃ¼rdigung der einzelnen Kriterien gemÃ¤ss BGE 130 V 352 erfolgte bezÃ¼glich der Diagnosen somatoforme SchmerzstÃ¶rung beziehungsweise chronofiziertes generalisiertes Schmerzbild ohne organisches Substrat bereits weitgehend im Urteil vom 30. September 2009, indem das Folgende festgehalten wurde:</w:t>
      </w:r>
    </w:p>
    <w:p>
      <w:r>
        <w:t>Â Â Â Â Â Â Â Â  ÂEine psychische KomorbiditÃ¤t liegt nun aber unbestrittenermassen nicht vor. Soweit die BeschwerdefÃ¼hrerin Ã¼berhaupt an chronischen kÃ¶rperlichen Begleiterkrankungen leidet, so sind diese in ihrer Schwere aus objektiver Sicht geringfÃ¼gig. Dr. B.___ geht denn auch lediglich von einem leichten panvertebralen Syndrom aus und hÃ¤lt hinsichtlich der geltend gemachten Kniebeschwerden fest, dass die beschriebenen geringgradigen degenerativen VerÃ¤nderungen im RÃ¶ntgenbild fÃ¼r die Symptomatik und die klinischen Befunde irrelevant seien. Ohne das Gutachten von Dr. B.___ abschliessend zu wÃ¼rdigen, ist dennoch festzuhalten, dass er sich zu den geltend gemachten Kniebeschwerden Ã¤ussert, weitere AbklÃ¤rungen aber aufgrund der vorgefundenen Klinik nicht fÃ¼r nÃ¶tig hÃ¤lt (Urk. 7/133 S. 15). Mittlerweile ist indes von einem mehrjÃ¤hrigen, chronifizierten Krankheitsverlauf mit unverÃ¤nderter oder progredienter Symptomatik ohne lÃ¤ngerdauernde RÃ¼ckbildung auszugehen, wobei ein sozialer RÃ¼ckzug in allen Belangen des Lebens nicht angenommen werden kann, da die BeschwerdefÃ¼hrerin mit ihrem Ehemann zusammen wohnt und Ã¼berdies regelmÃ¤ssig Kontakt mit ihren Kindern pflegt. DemgegenÃ¼ber kann aufgrund des Verlaufs sowie der passiven Lebenshaltung von einer "Flucht in die Krankheit" gesprochen werden. BezÃ¼glich des Scheiterns einer konsequent durchgefÃ¼hrten ambulanten oder stationÃ¤ren Behandlung ist anzumerken, dass die BeschwerdefÃ¼hrerin bisher insbesondere fÃ¼r eine psychotherapeutische Behandlung wenig motiviert war, obschon eine solche nach Auffassung der FachÃ¤rzte dringend indiziert wÃ¤re. Von einem AusschÃ¶pfen der therapeutischen Massnahmen kann demnach Ã¼berhaupt nicht gesprochen werden. Die Kriterien, die fÃ¼r und gegen die Ãberwindbarkeit der Schmerzen sprechen, halten sich somit in etwa die Waage, wobei die ersteren ausgeprÃ¤gter sind als die letzteren.Â (Urk. 7/143 E. 4.2).</w:t>
      </w:r>
    </w:p>
    <w:p>
      <w:r>
        <w:t>Â Â Â Â Â Â Â Â  Aufgrund der ergÃ¤nzenden AbklÃ¤rungen hinsichtlich der Medikamenteneinnahme und unter BerÃ¼cksichtigung der Rechtsprechung zur Fibromyalgie muss aus heutiger Sicht von einer Ãberwindbarkeit der Schmerzen bei einer leichten kÃ¶rperlichen TÃ¤tigkeit ausgegangen werden. Es kann daher den Z.___-Gutachtern und Dr. B.___ aus rechtlicher Sicht nicht gefolgt werden, wenn sie die Fibromyalgie mit zusÃ¤tzlicher Weichteilgeneralisierung und anhaltender somatoformer SchmerzstÃ¶rung beziehungsweise das chronifizierte generalisierte Schmerzbild als invalidisierend betrachten und der BeschwerdefÃ¼hrerin hinsichtlich einer kÃ¶rperlich leichten TÃ¤tigkeit eine ArbeitsunfÃ¤higkeit von 50 % zugestehen (Urk. 7/82 S. 16 ff., Urk. 7/133 S. 12 f.). Denn wie bereits festgehalten wurde, sind die passive Lebenshaltung, die erhÃ¶hte ErmÃ¼dbarkeit und das zu tiefe Energieniveau rein invaliditÃ¤tsfremder Natur. Die aktuelle Medikation zeigt dabei auch, dass sich die Behandlung der psychischen Beschwerden offenbar auf die Abgabe von gering dosiertem Tryptizol beschrÃ¤nkt. FÃ¼r die Aufnahme einer dringend indizierten psychotherapeutischen Behandlung finden sich in den Akten nach wie vor keine Hinweise, so dass auch heute nicht von einem AusschÃ¶pfen der therapeutischen Massnahmen gesprochen werden kann.</w:t>
      </w:r>
    </w:p>
    <w:p>
      <w:r>
        <w:t>Â Â Â Â Â Â Â Â  In einer den somatischen Befunden angemessenen TÃ¤tigkeit ist der BeschwerdefÃ¼hrerin damit aus heutiger Sicht eine 100%ige ArbeitsfÃ¤higkeit zuzumuten, wie dies die Beschwerdegegnerin in der angefochtenen VerfÃ¼gung ausfÃ¼hrt. Entgegen der Auffassung des Vertreters der BeschwerdefÃ¼hrerin erscheinen weitere AbklÃ¤rungen - insbesondere solche bildgebender Natur - nicht angezeigt. So geht aus den mittlerweile umfangreichen Akten klar hervor, dass die gesundheitlichen Probleme der BeschwerdefÃ¼hrerin im psychischen Bereich zu suchen sind. DarÃ¼ber hinaus hielt Dr. B.___ in seinem Gutachten vom 30. Juni 2007 weitere bildgebende AbklÃ¤rungen nicht fÃ¼r nÃ¶tig (7/133). Auch die hausÃ¤rztliche Medikamentenliste zeigt, dass die BeschwerdefÃ¼hrer nach wie vor nicht an erheblichen somatischen Beschwerden leidet. So wird als Schmerzmedikation nur bei Bedarf und ausschliesslich Dafalgan eingenommen (Urk. 7/153). Zudem ist anzumerken, dass die Beschwerdegegnerin nicht eine generelle AbklÃ¤rungspflicht trifft. Sollte die BeschwerdefÃ¼hrerin an neuen somatischen Beschwerden leiden, darf erwartet werden, dass sie diese im Rahmen der hausÃ¤rztlichen Kontrolle zur Sprache bringt. Die vorliegenden Akten enthalten keine Hinweise, welche eine weitere AbklÃ¤rung des Sachverhaltes rechtfertigen wÃ¼rden.</w:t>
      </w:r>
    </w:p>
    <w:p>
      <w:r>
        <w:t>Â Â Â Â Â Â Â Â  Unbestritten ist, dass die BeschwerdefÃ¼hrerin aufgrund ihrer somatischen Beschwerden auf einen behinderungsangepassten Arbeitsplatz angewiesen ist und nur noch leichte TÃ¤tigkeiten verrichten kann, was bei der InvaliditÃ¤tsbemessung in Form eines leidensbedingten Abzuges zu berÃ¼cksichtigen sein wird.</w:t>
      </w:r>
    </w:p>
    <w:p>
      <w:r>
        <w:t>4.2Â Â Â Â  Als Folge des hÃ¶chstrichterlichen Urteils vom 3. April 2006 musste weiter eine neue HaushaltsabklÃ¤rung durchgefÃ¼hrt werden.</w:t>
      </w:r>
    </w:p>
    <w:p>
      <w:r>
        <w:t>Â Â Â Â Â Â Â Â  Die AbklÃ¤rungsperson D.___ hielt in ihrem Bericht vom 22. Februar 2007 fest, dass weiterhin von einer Qualifikation von 60 % Erwerb und 40 % Haushalt auszugehen sei. Bis zum 31. MÃ¤rz 2003 hÃ¤tten Sohn und Schwiegertochter im gleichen Haushalt gelebt, so dass bis zu diesem Zeitpunkt im Rahmen der Schadenminderungspflicht insbesondere die Mithilfe der Schwiegertochter - neben derjenigen des Ehemannes und des Sohnes - zu berÃ¼cksichtigen sei. Dabei sei davon auszugehen, dass die Schwiegertochter die HÃ¤lfte der anfallenden Arbeiten erledigt habe, wÃ¤hrend dem Sohn und dem Ehemann je 5 % der Arbeiten zuzumuten gewesen seien. Von den verbleibenden 40 % der Arbeiten kÃ¶nne die BeschwerdefÃ¼hrerin lediglich die leichteren TÃ¤tigkeiten verrichten, was in den relevanten Bereichen zu einer EinschrÃ¤nkung von 20 % fÃ¼hre. Insgesamt ergebe sich in diesem Zeitraum eine EinschrÃ¤nkung von 18 %. FÃ¼r die Zeit ab dem 1. April 2003 sei zu berÃ¼cksichtigen, dass die Familie des Sohnes (Enkeltochter seit 2000) eine eigene Wohnung bezogen habe, was sich auf die Schadenminderungspflicht der Schwiegertochter sowie des Sohnes auswirke. Nur noch fÃ¼r die schweren und grÃ¼ndlichen Arbeiten sei die Mithilfe von Schwiegertochter und Sohn zu berÃ¼cksichtigen; die Schadenminderungspflicht des Ehemannes bleibe unverÃ¤ndert. FÃ¼r die Zeit nach dem Auszug der Familie des Sohnes bzw. dem Bezug einer eigenen Wohnung sei insgesamt von einer EinschrÃ¤nkung von 38 % auszugehen (Urk. 7/119).</w:t>
      </w:r>
    </w:p>
    <w:p>
      <w:r>
        <w:t>Â Â Â Â Â Â Â Â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(BGE 133 V 504 E. 4.2 mit Hinweisen).</w:t>
      </w:r>
    </w:p>
    <w:p>
      <w:r>
        <w:t>Â Â Â Â Â Â Â Â  Wie bereits mit Urteil vom 23. August 2005 bezÃ¼glich der HaushaltsabklÃ¤rung vom 9. Juni 2000 festgehalten (Urk. 7/104 S. 7, Urk. 8/34), war auch im Rahmen der aktuellen HaushaltsabklÃ¤rung eine differenzierte Bestandesaufnahme dessen, was der BeschwerdefÃ¼hrerin an TÃ¤tigkeiten noch mÃ¶glich ist, nicht durchfÃ¼hrbar, da die BeschwerdefÃ¼hrerin im Haushalt generell keine TÃ¤tigkeiten mehr verrichtet. Dass die LeistungsfÃ¤higkeit dabei in gewissen Bereichen - im Sinne eines medizinisch-theoretischen Wertes - eingeschÃ¤tzt werden musste, ist vor diesem Hintergrund nicht zu beanstanden, umsoweniger, als aus heutiger Sicht fÃ¼r leichte TÃ¤tigkeiten von einer vollstÃ¤ndigen ArbeitsfÃ¤higkeit auszugehen ist. Weiter nimmt die aktuelle HaushaltsabklÃ¤rung auf die Tatsache des Auszugs des Sohnes und den Wohnungswechsel per 1. April 2003 und 15. Oktober 2006 RÃ¼cksicht, indem ab 1. April 2003 an die Schadenminderungspflicht der Schwiegertochter und des Sohnes deutlich geringere Anforderungen gestellt werden und festgestellt wird, dass die Wohnungswechsel zu keiner Ãnderung der Gewichtung der einzelnen Bereiche gefÃ¼hrt haben.</w:t>
      </w:r>
    </w:p>
    <w:p>
      <w:r>
        <w:t>Â Â Â Â Â Â Â Â  Soweit im aktuellen HaushaltabklÃ¤rungsbericht bis Ende MÃ¤rz 2003 nicht nur der Ehemann, sondern auch der im Haushalt der BeschwerdefÃ¼hrerin lebende Sohn und dessen Ehefrau als schadenminderungspflichtig betrachtet werden, ist dies im Ergebnis nicht zu beanstanden. Denn wie dargelegt, kann die der HaushaltsabklÃ¤rung zugrunde liegende Annahme einer bloss 50%igen ArbeitsfÃ¤higkeit in einer leichten TÃ¤tigkeit nicht aufrechterhalten werden. Angesichts der der BeschwerdefÃ¼hrerin fÃ¼r leichte kÃ¶rperliche TÃ¤tigkeiten durchaus zumutbaren ArbeitsfÃ¤higkeit kann daher fÃ¼r den mit 45 % gewichteten Bereich ErnÃ¤hrung keine und in den je mit 20 % gewichteten Bereichen Wohnungspflege sowie WÃ¤sche- und Kleiderpflege, die nach den AusfÃ¼hrungen des Bundesgerichts im Urteil vom 3. April 2006 regelmÃ¤ssig nicht als leicht zu bezeichnende Arbeiten umfassen (Urk. 7/107 E. 3.2), aber auch im mit 10 % gewichteten Bereich Einkauf und weitere Besorgungen nur eine geringfÃ¼gige EinschrÃ¤nkung angenommen werden, so dass sich auch die Schadenminderungspflicht der AngehÃ¶rigen verringert. Es besteht daher kein Grund, die unter BerÃ¼cksichtigung einer weitgehenden Schadenminderungspflicht der FamilienangehÃ¶rigen zugestandene EinschrÃ¤nkung von insgesamt 18 % zu erhÃ¶hen, weshalb es bei dem dem 40%igen Haushaltsanteil entsprechenden TeilinvaliditÃ¤tsgrad von 7,2 % sein Bewenden hat.</w:t>
      </w:r>
    </w:p>
    <w:p>
      <w:r>
        <w:t>Â Â Â Â Â Â Â Â  Ob die ab 1. April 2003 nicht mehr im gleichen Haushalt lebenden FamilienangehÃ¶rigen ab diesem Zeitpunkt Ã¼berhaupt noch eine Schadenminderungspflicht trifft, kann offen bleiben. Denn selbst wenn der BeschwerdefÃ¼hrerin fÃ¼r die genannten, schwere und mittelschwere Arbeiten umfassenden drei Bereiche eine vollstÃ¤ndige EinschrÃ¤nkung zugestanden und nur dem Ehemann eine Schadenminderungspflicht auferlegt wÃ¼rde, indem dieser die EinkÃ¤ufe vollstÃ¤ndig zu Ã¼bernehmen hÃ¤tte, so ergÃ¤be sich insgesamt nur eine EinschrÃ¤nkung von 40 % und damit ein TeilinvaliditÃ¤tsgrad von 16 %. Dieser fÃ¼hrt, wie sich nachfolgend ergibt, auch unter BerÃ¼cksichtigung der im erwerblichen Bereich bestehenden EinschrÃ¤nkung nicht zu einem rentenbegrÃ¼ndenden InvaliditÃ¤tsgrad.</w:t>
      </w:r>
    </w:p>
    <w:p>
      <w:r>
        <w:t>Â Â Â Â Â Â Â Â  Da die passive Lebenshaltung, die erhÃ¶hte ErmÃ¼dbarkeit und das zu tiefe Energieniveau sich zufolge zumutbarer Ãberwindbarkeit als invalidenversicherungsrechtlich nicht relevant erweisen und der BeschwerdefÃ¼hrerin nur leichte Arbeiten zugemutet werden, stellen sich im Ãbrigen auch die teilweise in der Beschwerde und vom Bundesgericht im RÃ¼ckweisungsentscheid aufgrund dieser Behinderungen aufgeworfenen Fragen nach einer wechselseitigen Leistungsverminderung und nach der Notwendigkeit einer ArbeitsangewÃ¶hnung (E. 3.1.2; Urk. 7/107 S. 5, Urk. Â 1 S. 10 f.) nicht mehr.</w:t>
      </w:r>
    </w:p>
    <w:p>
      <w:r>
        <w:rPr>
          <w:b/>
        </w:rPr>
        <w:t>E. 5</w:t>
      </w:r>
    </w:p>
    <w:p>
      <w:r>
        <w:t>5.1Â Â Â Â  Hinsichtlich des Valideneinkommens ist per 1999 - gemÃ¤ss dem Urteil des hiesigen Gerichts vom 23. August 2005 - von einem Wert von Fr. 35Â838.-- auszugehen (Urk. 7/104 S. 7).</w:t>
      </w:r>
    </w:p>
    <w:p>
      <w:r>
        <w:t>Â Â Â Â Â Â Â Â  Das Invalideneinkommen belÃ¤uft sich nach dem genannten Urteil anhand der praxisgemÃ¤ss heranzuziehenden statistischen Durchschnittswerte der Schweizerischen Lohnstrukturerhebung (LSE; herausgegeben vom Bundesamt fÃ¼r Statistik) per 1999 bei einem Vollpensum auf Fr. 44Â260.-- (Urk. 7/104 S. 7), was bei einem nach heutiger EinschÃ¤tzung zuzumutenden Pensum von 60 % einem Jahreseinkommen von Fr. 26Â556.-- entspricht. Dabei erscheint der im obgenannten Urteil vorgenommene leidensbedingte Abzug von 10 % als den gesamten UmstÃ¤nden angemessen. Anzumerken ist dabei, dass der sprachlichen Kompetenz im Bereich der HilfsarbeitertÃ¤tigkeiten meist keine entscheidende Bedeutung zukommt; so konnte die BeschwerdefÃ¼hrerin denn auch mehrere Jahre als Sortiererin bei der Y.___ arbeiten. Insgesamt fÃ¼hrt dies zu einem zumutbaren Invalideneinkommen in der HÃ¶he von rund Fr. 23Â900.--, was im Bereich Erwerb zu einer EinschrÃ¤nkung von rund 33 % fÃ¼hrt ([Fr. 35Â838.-- - Fr. 23Â900.--] x 100 / Fr. 35Â838.-- = 33,31).</w:t>
      </w:r>
    </w:p>
    <w:p>
      <w:r>
        <w:t>Â Â Â Â Â Â Â Â  Bei einer Gewichtung des Bereichs ÂErwerbÂ mit 60 % ergibt dies eine TeilinvaliditÃ¤t von 19,8 %, was bei einer TeilinvaliditÃ¤t im Haushalt von 7,2 % (18 % x 0,4) zu einem rentenausschliessenden InvaliditÃ¤tsgrad von 27 % fÃ¼hrt.</w:t>
      </w:r>
    </w:p>
    <w:p>
      <w:r>
        <w:t>5.2Â Â Â Â  Per 2003 (Zeit nach dem Auszug der Familie des Sohnes und dem Bezug einer eigenen Wohnung) ergibt sich ein Valideneinkommen von Fr. 38'797.-- (Schweizerischer Lohnindex insgesamt (1939 = 100), Frauen, Stand 1999: 2156, Stand 2003: 2334; www.bfs.admin.ch , Arbeit und Erwerb, LÃ¶hne/Erwerbseinkommen, detaillierte Daten, Lohnentwicklung).</w:t>
      </w:r>
    </w:p>
    <w:p>
      <w:r>
        <w:t>Â Â Â Â Â Â Â Â  Der monatliche Bruttolohn (Zentralwert) weiblicher ArbeitskrÃ¤fte im privaten Sektor fÃ¼r einfache und repetitive TÃ¤tigkeiten betrug im Jahre 2002 im Gesamtdurchschnitt Fr. 3'820.-- (LSE 2002, S. 43, Tabelle TA1). Nach BerÃ¼cksichtigung der durchschnittlichen Arbeitszeit von 41,7 Stunden pro Woche (Die Volkswirtschaft, 1/2-2013, S. 94) ergibt sich ein jÃ¤hrliches Einkommen von rund Fr. 47Â788.--, was nach BerÃ¼cksichtigung der seither eingetretenen Nominallohnentwicklung (Schweizerischer Lohnindex insgesamt (1939 = 100), Frauen, Stand 2002: 2296, Stand 2003: 2334; www.bfs.admin.ch , Arbeit und Erwerb, LÃ¶hne/Erwerbseinkommen, detaillierte Daten, Lohnentwicklung) per 2003 einem solchen von rund Fr. 48Â579.-- entspricht. Bei einem zumutbaren Pensum von 60 % sowie einem leidensbedingten Abzug von 10 % ergibt sich ein Einkommen von rund Fr. 26Â233.--, was im erwerblichen Bereich zu einer EinschrÃ¤nkung von rund 32 % fÃ¼hrt ([Fr. 38'797.-- - Fr. 26Â233.--] x 100 / Fr. 38'797.-- = 32,38).</w:t>
      </w:r>
    </w:p>
    <w:p>
      <w:r>
        <w:t>Â Â Â Â Â Â Â Â  Bei einer Gewichtung des Bereichs ÂErwerbÂ mit 60 % ergibt dies eine TeilinvaliditÃ¤t von 19,2 %, was bei einer TeilinvaliditÃ¤t im Haushalt von 16 % (40 % x 0,4) zu einem rentenausschliessenden InvaliditÃ¤tsgrad von rund 35 % fÃ¼hrt.</w:t>
      </w:r>
    </w:p>
    <w:p>
      <w:r>
        <w:t>Â Â Â Â Â Â Â Â  Zusammenfassend fÃ¼hrt dies im Ergebnis zur BestÃ¤tigung der angefochtenen VerfÃ¼gung sowie zur Abweisung der Beschwerde.</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iur.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