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IV.2012.01290 vom 11. August 2014</w:t>
      </w:r>
    </w:p>
    <w:p>
      <w:r>
        <w:t>ZH Sozialversicherungsgericht, 2014-08-11, DE</w:t>
      </w:r>
    </w:p>
    <w:p>
      <w:r>
        <w:rPr>
          <w:b/>
        </w:rPr>
        <w:t xml:space="preserve">Quelle: </w:t>
      </w:r>
      <w:r>
        <w:t>https://mcp.opencaselaw.ch/entscheid/zh_sozialversicherungsgericht_IV.2012.01290</w:t>
      </w:r>
    </w:p>
    <w:p>
      <w:r>
        <w:t>FR: ZH_SOZIALVERSICHERUNGSGERICHT IV.2012.01290 du 11 août 2014</w:t>
      </w:r>
    </w:p>
    <w:p>
      <w:r>
        <w:t>IT: ZH_SOZIALVERSICHERUNGSGERICHT IV.2012.01290 del 11 agosto 2014</w:t>
      </w:r>
    </w:p>
    <w:p>
      <w:pPr>
        <w:pStyle w:val="Heading2"/>
      </w:pPr>
      <w:r>
        <w:t>Erwägungen</w:t>
      </w:r>
    </w:p>
    <w:p>
      <w:r>
        <w:rPr>
          <w:b/>
        </w:rPr>
        <w:t>E. 1</w:t>
      </w:r>
    </w:p>
    <w:p>
      <w:r>
        <w:t>X.___ ,</w:t>
      </w:r>
    </w:p>
    <w:p>
      <w:r>
        <w:t>geboren 1965, meldete sich am 8. September 2009 unter Hinweis auf Bandscheibenvorfälle bei der Invalidenversicherung zum Leistungsbezug ( Massnahmen für die berufliche Eingliederung; Urk. 6/4) an , worauf die Sozialversicherungsanstalt des Kanto ns Zürich, IV-Stelle,</w:t>
      </w:r>
    </w:p>
    <w:p>
      <w:r>
        <w:t>unter anderem beim Krankentaggeldversicherer der Versicherten, der Swica Kranken versicherung AG, medizinische Unterlagen beizog ( Urk. 6/30/1-34). Mit Mittei lung vom 8. Dezember 2010 ( Urk. 6/31) gab die IV-Stelle der Versicherten vom Abschluss der Arbeitsvermittlung Kenntnis . Mit Vorbescheid vom 5. August 2011 ( Urk. 6/43) stellte die IV-Stelle der Versicherten die Ausrichtung einer ganzen Rente für die Zeit vom 1. März bis 3 0. November 2010 in Aussicht, worauf die berufliche Vorsorgeeinrichtung der Versicherten, die Stiftung Vor sorge-Einrichtung der Y.___ am 3 0. August 2011 dagegen Einwand erhob ( Urk. 6/49). Mit Vorbescheid vom 2 7. September 2011 ( Urk.</w:t>
      </w:r>
    </w:p>
    <w:p>
      <w:r>
        <w:rPr>
          <w:b/>
        </w:rPr>
        <w:t>E. 1.1</w:t>
      </w:r>
    </w:p>
    <w:p>
      <w:r>
        <w:t>Invalidität ist die voraussichtlich bleibende oder längere Zeit dauernde ganze oder teilweise Erwerbsunfähigkeit ( Art.</w:t>
      </w:r>
    </w:p>
    <w:p>
      <w:r>
        <w:rPr>
          <w:b/>
        </w:rPr>
        <w:t>E. 1.2</w:t>
      </w:r>
    </w:p>
    <w:p>
      <w:r>
        <w:t>Sowohl im Rahmen einer erstmaligen Prüfung des Rentenanspruches als auch anlässlich einer Rentenrevision ( Art. 17 Abs. 1 ATSG) stellt sich unter dem Ge sichtspunkt des Art. 28a Abs. 3 des Bundesgesetzes über die Invalidenversiche rung ( IVG )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 vergleich , gemischte Methode) und ergibt sich aus der Prüfung, was die Person bei im Übrigen unveränderten Umständen täte, wenn keine gesundheitliche Beein trächtigung bestünde. Entscheidend ist nicht, welches Ausmass der Erwerbs tätigkeit der versicherten Person im Gesundheitsfall zugemutet werden könnte, sondern in welchem Pensum sie hypothetisch, das heisst ohne Gesundheitsscha den , aber bei sonst gleichen Verhältnissen, erwerbstätig wäre ( Art. 27 bis</w:t>
      </w:r>
    </w:p>
    <w:p>
      <w:r>
        <w:t>der Verordnung über die Invalidenversicherung, IVV). Die gemischte Methode bezweckt damit eine möglichst wirklichkeitsgerechte Bemessung des Invalidi 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 gungen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1 .3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 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rPr>
          <w:b/>
        </w:rPr>
        <w:t>E. 1.4</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 di täts grad bestimmen lässt (allgemeine Methode des Einkommensver gleichs ; BGE 130 V 343 E. 3.4.2 mit Hinweisen). 1. 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6</w:t>
      </w:r>
    </w:p>
    <w:p>
      <w:r>
        <w:t>/52) hob die IV-Stelle den Vorbescheid vom 5. August 2011 wiedererwägungsweise auf und stellte der Versicherten neu die Ausrichtung einer halben Rente für die Zeit vom 1. März bis 3 0. November 2010 in Aussicht. Dagegen erhob die Versicherte am 2 4. November 2011 Ein wand ( Urk. 6/57). Mit Verfügung vom 8. November 2012 ( Urk. 6/65 = Urk. 2) sprach die IV-Stelle der Versicherte n bei einem Invaliditätsgrad von 51 % für die Zeit vom 1. März bis 3 0. November 2010 eine halbe Rente zu. 2.</w:t>
      </w:r>
    </w:p>
    <w:p>
      <w:r>
        <w:t>Gegen die Verfügung vom 8. November 2012 ( Urk. 2) erhob die Versicherte am 9. Dezember 2012 Beschwerde ( Urk. 1) und beantragte, es sei ihr eine ganze befristete Rente ab März 2010 zuzusprechen, es sei bei der Bemessung des Invaliditätsgrades auf die Beurteilung ihres behandelnden Rheumatologen, Dr. med. Z.___ , abzustellen und es sei für die Zeit ab Febru a r 2011 ein Inva li ditätsgrad von 30 % fest zu leg en ( Urk. 2 S. 1).</w:t>
      </w:r>
    </w:p>
    <w:p>
      <w:r>
        <w:t>Die IV-Stelle beantragte mit Beschwerdeantwort vom 2 2. Januar 2013 ( Urk. 5 ) die Abweisun g der Beschwerde. Dies wurde der Beschwerdeführer in am 4. Februar 2013 zur Kenntnis gebracht ( Urk. 7 ). Das Gericht</w:t>
      </w:r>
    </w:p>
    <w:p>
      <w:r>
        <w:t>zieht in Erwägung: 1.</w:t>
      </w:r>
    </w:p>
    <w:p>
      <w:r>
        <w:rPr>
          <w:b/>
        </w:rPr>
        <w:t>E. 8</w:t>
      </w:r>
    </w:p>
    <w:p>
      <w:r>
        <w:t>Hinsichtlich des Beweiswertes eines ärztlichen Berichtes ist entscheidend, ob der Bericht für die streitigen Belange umfassend ist, auf allseitigen Untersuchungen be 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 2.1</w:t>
      </w:r>
    </w:p>
    <w:p>
      <w:r>
        <w:t>Für die Umschreibung des Prozessthemas ist nach den Regeln über den Anfech tungs - und Streitgegenstand zu verfahren. Streitgegenstand im System der nachträglichen Verwal tungsrechtspflege ist das Rechtsverhältnis, welches im Rahmen des durch die Verfügung bestimmten Anfechtungsgegen standes</w:t>
      </w:r>
    </w:p>
    <w:p>
      <w:r>
        <w:t>den aufgrund der Beschwerdebegehren effektiv angefochtenen Verfügungs gegen stand bildet. Anfechtungsgegenstand und Streit gegenstand sind identisch, wenn die Verfügung ins gesamt angefochten wird. Bezieht sich demgegenüber die Beschwerde nur auf einzelne der durch die Verfügung be stimmten Rechtsver hältnisse, gehören die nicht beanstan deten Rechts verhältnisse zwar wohl zum Anfechtungs-, nicht aber zum Streitgegenstand.</w:t>
      </w:r>
    </w:p>
    <w:p>
      <w:r>
        <w:t>Mit der verfügungsweisen Zusprechung einer unbefristeten Invalidenrente wird ein im Wesentlichen durch die Anspruchsberechtigung an sich sowie die Höhe und den Beginn der Leistung bestimmtes Rechtsverhältnis geordnet. Diese Grundsätze gelten auch bei der revisionsweisen Erhöhung, Herabsetzung oder Aufhebung einer laufenden Rente. Nicht anders verhält es sich bei der rückwir kenden Zusprechung einer abgestuften und/oder befristeten Rente, wenn also gleichzeitig eine Rente zugesprochen und diese revisionsweise herauf- oder her abgesetzt und/oder aufgehoben wird (BGE 125 V 413 E. 2d). 2.2</w:t>
      </w:r>
    </w:p>
    <w:p>
      <w:r>
        <w:t>Den Streitgegenstand bestimmende, aber nicht beanstandete Elemente prüft die Beschwerdeinstanz nur, wenn hiezu auf Grund der Vorbringen der Parteien oder anderer sich aus den Akten ergebender Anhaltspunkte hinreichender Anlass besteht. Zieht das Gericht an sich nicht bestrittene Aspekte des streitigen Rechtsverhältnisses in die Prüfung mit ein, hat es bei seinem Entscheid je nach dem die Verfahrensrechte der am Prozess Beteiligten, insbesondere das Anhö rungsrecht der von einer möglichen Schle chterstellung bedrohten Partei zu wahren (BGE 125 V 413 E. 2c mit Hinweisen ). 2.3</w:t>
      </w:r>
    </w:p>
    <w:p>
      <w:r>
        <w:t>Die Beschwerdegegnerin ging in der angefochtenen Verfügung vom 8. November 2012 ( Urk. 2 , Verfügungsteil II ) davon aus, dass die Beschwerde führerin</w:t>
      </w:r>
    </w:p>
    <w:p>
      <w:r>
        <w:t>im Umfang eines Beschäftigungsgrades von 80 %</w:t>
      </w:r>
    </w:p>
    <w:p>
      <w:r>
        <w:t>eine Erwerbstä tigkeit ausgeübt und im restlichen Umfang von 20 % im Aufgabenbereich Haushalt tätig gewesen wäre , dass im Zeitraum vom 7. Februar 2009 bis 1 5. August 2010 eine Arbeitsunfähigkeit im erwerblichen Bereich von 100 % und ab 1 6. August 2010 eine solche von 0 % bestanden habe, weshalb befristet für die Zeit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