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IV.2012.01189 vom 7. März 2014</w:t>
      </w:r>
    </w:p>
    <w:p>
      <w:r>
        <w:t>ZH Sozialversicherungsgericht, 2014-03-07, DE</w:t>
      </w:r>
    </w:p>
    <w:p>
      <w:r>
        <w:rPr>
          <w:b/>
        </w:rPr>
        <w:t xml:space="preserve">Quelle: </w:t>
      </w:r>
      <w:r>
        <w:t>https://mcp.opencaselaw.ch/entscheid/zh_sozialversicherungsgericht_IV.2012.01189</w:t>
      </w:r>
    </w:p>
    <w:p>
      <w:r>
        <w:t>FR: ZH_SOZIALVERSICHERUNGSGERICHT IV.2012.01189 du 7 mars 2014</w:t>
      </w:r>
    </w:p>
    <w:p>
      <w:r>
        <w:t>IT: ZH_SOZIALVERSICHERUNGSGERICHT IV.2012.01189 del 7 marzo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1954, arbeitete zuletz t bei verschiedenen Arbeit gebern als Raumpflegerin ( Urk. 7/4 Ziff. 6.3.1, Urk. 7/11-13, Urk. 7/15-17). Am 17. Oktober 2001 meldete sie sich wegen eines Hirnschlages bei der Invaliden ver sicherung zum Leistungsbezug (Wiedereinschulung in die bisherige Tätigkeit, Hilfsmittel, Rente) an ( Urk. 7/4).</w:t>
      </w:r>
    </w:p>
    <w:p>
      <w:r>
        <w:t>Die Sozialversicherungsanstalt des Kantons Zürich, IV-Stelle holte medizinische Berichte ( Urk. 7/8, Urk. 7/19-21, Urk. 7/28-31 , Urk. 7/36-37 ), einen Bericht über die Abklärung der beeinträchtigten Arbeitsfähigkeit in Beruf und Haushalt ( Urk. 7/44-45), Auszüge aus dem individuellen Konto der Versicherten (IK-Aus züge; Urk. 7/22-24) sowie Arbeitgeberberichte ( Urk. 7/11-13, Urk. 7/15-17) ein.</w:t>
      </w:r>
    </w:p>
    <w:p>
      <w:r>
        <w:t>Mit Verfügung vom</w:t>
      </w:r>
    </w:p>
    <w:p>
      <w:r>
        <w:rPr>
          <w:b/>
        </w:rPr>
        <w:t>E. 2</w:t>
      </w:r>
    </w:p>
    <w:p>
      <w:r>
        <w:t>2. Mai 2003 ( Urk. 7/53) verneinte die IV-Stelle einen An spruch der Versicherten auf Leistungen der Invalidenversicherung. Die am 1 9. Jun i 2003 beziehungsweise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