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IV.2012.01124 vom 28. Januar 2013</w:t>
      </w:r>
    </w:p>
    <w:p>
      <w:r>
        <w:t>ZH Sozialversicherungsgericht, 2013-01-28, DE</w:t>
      </w:r>
    </w:p>
    <w:p>
      <w:r>
        <w:rPr>
          <w:b/>
        </w:rPr>
        <w:t xml:space="preserve">Quelle: </w:t>
      </w:r>
      <w:r>
        <w:t>https://mcp.opencaselaw.ch/entscheid/zh_sozialversicherungsgericht_IV.2012.01124</w:t>
      </w:r>
    </w:p>
    <w:p>
      <w:r>
        <w:t>FR: ZH_SOZIALVERSICHERUNGSGERICHT IV.2012.01124 du 28 janvier 2013</w:t>
      </w:r>
    </w:p>
    <w:p>
      <w:r>
        <w:t>IT: ZH_SOZIALVERSICHERUNGSGERICHT IV.2012.01124 del 28 gennaio 2013</w:t>
      </w:r>
    </w:p>
    <w:p>
      <w:pPr>
        <w:pStyle w:val="Heading2"/>
      </w:pPr>
      <w:r>
        <w:t>Erwägungen</w:t>
      </w:r>
    </w:p>
    <w:p>
      <w:r>
        <w:rPr>
          <w:b/>
        </w:rPr>
        <w:t>E. 1</w:t>
      </w:r>
    </w:p>
    <w:p>
      <w:r>
        <w:t>1.1Â Â Â Â  GemÃ¤ss Art. 56 des Bundesgesetzes Ã¼ber den Allgemeinen Teil des Sozialversicherungsrechts (ATSG) kann gegen Einspracheentscheide oder VerfÃ¼gungen, gegen welche eine Einsprache ausgeschlossen ist, Beschwerde erhoben werden (Abs. 1). Zudem kann Beschwerde erhoben werden, wenn der VersicherungstrÃ¤ger entgegen dem Begehren der betroffenen Person keine VerfÃ¼gung oder keinen Einspracheentscheid erlÃ¤sst (Abs. 2). Diese Bestimmung bezieht sich auf FÃ¤lle der Rechtsverweigerung oder RechtsverzÃ¶gerung.</w:t>
      </w:r>
    </w:p>
    <w:p>
      <w:r>
        <w:t>1.2Â Â Â Â  Nach Art. 29 Abs. 1 der Bundesverfassung der Schweizerischen Eidgenossenschaft vom 18. April 1999 (BV) haben die Parteien Anspruch auf gleiche und gerechte Behandlung sowie auf Beurteilung innert angemessener Frist.</w:t>
      </w:r>
    </w:p>
    <w:p>
      <w:r>
        <w:t>Â Â Â Â Â Â Â Â  Eine Verletzung von Art. 29 Abs. 1 BV - sowie gegebenenfalls von Art. 6 Ziff. 1 der EuropÃ¤ischen Menschenrechtskonvention (EMRK; BGE 130 I 174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 3a und b, BGE 124 V 130, 117 Ia 116 E. 3a, 197 E. 1c, 103 V 190 E. 3c).</w:t>
      </w:r>
    </w:p>
    <w:p>
      <w:r>
        <w:t>1.3Â Â Â Â  Die Beurteilung der angemessenen Verfahrensdauer entzieht sich starren Regeln. Es ist vielmehr in jedem Einzelfall zu prÃ¼fen, ob sich die Dauer unter den konkreten UmstÃ¤nden als angemessen erweist. Der Streitgegenstand und die damit verbundene Interessenlage kÃ¶nnen raschere Entscheide erfordern oder lÃ¤ngere Behandlungsperioden erlauben. Massgebend sind weiter der Umfang und die KomplexitÃ¤t der aufgeworfenen Sachverhalts- und Rechtsfragen, die Bedeutung des Streites fÃ¼r die Parteien und ihr Verhalten. Bei der PrÃ¼fung der Frage, ob der Anspruch auf Beurteilung innert angemessener Frist verletzt ist, ist auch zu berÃ¼cksichtigen, dass es dem Rechtsuchenden obliegt, im Rahmen des Zumutbaren die zum Entscheid berufene GerichtsbehÃ¶rde, wenn nÃ¶tig, darauf aufmerksam zu machen, das Verfahren voranzutreiben oder allenfalls RechtsverzÃ¶gerungsbeschwerde zu fÃ¼hren (Urteil des Bundesgerichts 9C_418/2009 vom 24. August 2009 E. 1.1).</w:t>
      </w:r>
    </w:p>
    <w:p>
      <w:r>
        <w:t>1.4Â Â Â Â  Das mit der RechtsverzÃ¶gerungs- oder Rechtsverweigerungsbeschwerde verfolgte rechtlich geschÃ¼tzte Interesse besteht darin, einen an eine gerichtliche Beschwerdeinstanz weiterziehbaren Entscheid zu erhalten, weshalb Streitgegenstand des Beschwerdeverfahrens allein die PrÃ¼fung der beanstandeten Rechtsverweigerung oder RechtsverzÃ¶gerung ist, wÃ¤hrend die durch die VerfÃ¼gung oder den Einspracheentscheid zu regelnden materiellen Rechte und Pflichten nicht zum Streitgegenstand gehÃ¶ren (SVR 2005 IV Nr. 26 S. 102 E. 4.2 mit Hinweisen).</w:t>
      </w:r>
    </w:p>
    <w:p>
      <w:r>
        <w:rPr>
          <w:b/>
        </w:rPr>
        <w:t>E. 2</w:t>
      </w:r>
    </w:p>
    <w:p>
      <w:r>
        <w:t>2.1Â Â Â Â  Die Beschwerdegegnerin, bei welcher sich die BeschwerdefÃ¼hrerin am 26. August 2008 zum Leistungsbezug angemeldet hatte (vgl. Urk. 9/1), erliess am 6. April 2011 den Vorbescheid, mit welchem sie einen Rentenanspruch verneinte. Als BegrÃ¼ndung fÃ¼hrte sie an, die BeschwerdefÃ¼hrerin kÃ¶nne dem ursprÃ¼nglich ausgefÃ¼hrten Teilpensum von 40 % weiterhin nachgehen und wie bis anhin Fr. 19Â890.-- erzielen. Im Bereich Haushalt ergebe sich eine EinschrÃ¤nkung von 28 %. Bei einer Gewichtung von 60 % resultiere ein InvaliditÃ¤tsgrad von 17 % im Aufgabenbereich Haushalt. Unter Anwendung der gemischten Methode kam die Beschwerdegegnerin zu einem InvaliditÃ¤tsgrad von 17 % (Urk. 9/41).</w:t>
      </w:r>
    </w:p>
    <w:p>
      <w:r>
        <w:t>Â Â Â Â Â Â Â Â  Dagegen erhob die BeschwerdefÃ¼hrerin mit Eingabe vom 8. April 2011 Einwand und machte im Wesentlichen geltend, sie sei vor Eintritt des Gesundheitsschadens voll erwerbstÃ¤tig gewesen, weshalb kein Raum zur Anwendung der gemischten Methode bleibe. Im Ãbrigen decke sich das Valideneinkommen nicht mit der Aktenlage. Aus dem IK-Auszug sei ersichtlich, dass die BeschwerdefÃ¼hrerin im Jahr 2001 ein Einkommen von Fr. 48Â799.--, im Jahr 2002 ein solches von Fr. 52Â805.--, im Jahr 2003 ein solches von Fr. 43Â322.--, im Jahr 2004 ein solches von Fr. 47Â783.-- und im Jahr 2005 ein solches von Fr. 52Â272.-- erzielt habe (Urk. 9/43).</w:t>
      </w:r>
    </w:p>
    <w:p>
      <w:r>
        <w:t>2.2Â Â Â Â  Aus den obigen AusfÃ¼hrungen erhellt, dass es bei der strittigen Frage nur noch darum geht, in welchem Umfang die BeschwerdefÃ¼hrerin vor Eintritt des Gesundheitsschadens einer ErwerbstÃ¤tigkeit nachgegangen ist und in welchem Umfang sie einer solchen ohne Gesundheitsschaden heute noch nachgehen wÃ¼rde. So konnte die Beschwerdegegnerin denn auch darauf verzichteten, weitere medizinische Berichte einzuholen, und nahm nach Erlass des Vorbescheids nur noch AbklÃ¤rungen vor, die den Erwerb der BeschwerdefÃ¼hrerin betrafen. So liess die Beschwerdegegnerin einen aktuellen IK-Auszug erstellen (vgl. IK-Auszug vom 2. September 2011, Urk. 9/45) und holte bei Y.___ und beim Z.___ die Arbeitgeberberichte vom 19. September 2011 (Urk. 9/46) und 23. September 2011 (Urk. 9/47) ein. Weiter erstattete der HaushaltabklÃ¤rungsdienst am 13. Oktober 2011 eine Stellungnahme zur HaushaltsabklÃ¤rung vom FrÃ¼hjahr 2010 sowie zu den neu gewonnen AbklÃ¤rungsergebnissen (Urk. 8/2). Nachdem sich die BeschwerdefÃ¼hrerin am 21. Oktober 2011 nach dem Stand der AbklÃ¤rungen erkundigt hatte (Urk. 9/48), teilte ihr die Beschwerdegegnerin telefonisch mit, es seien diverse Stellungnahmen eingeholt worden bzw. es mÃ¼ssten noch diverse Stellungnahmen eingeholt werden (Telefonnotiz vom 27. Oktober 2011, Urk. 9/49). Bevor die Beschwerdegegnerin die eingeholten Akten der BeschwerdefÃ¼hrerin am 23. Februar 2012 zur Stellungnahme zugestellt hatte (Urk. 9/50), fragte sie beim RAD nach, ob weiterhin auf den bereits bekannten medizinischen Sachverhalt abgestellt werden kÃ¶nne (vgl. Stellungnahme des RAD vom 20. Februar 2012 im Feststellungsblatt vom 23. November 2012, Urk. 8/1). Mit Eingabe vom 14. MÃ¤rz 2012 liess die BeschwerdefÃ¼hrerin, nachdem sie den in ihren Akten fehlenden HaushaltabklÃ¤rungsbericht vom 7. Juni 2010 (Urk. 9/31) nachgefordert hatte, ihre Vernehmlassung einreichen (Urk. 9/52). Zu dieser wurde vom AbklÃ¤rungsdienst nochmals am 12. April 2012 Stellung genommen (vgl. Urk. 8/2 S. 2). Schliesslich liess die BeschwerdefÃ¼hrerin am 19. Oktober 2012 Beschwerde erheben (Urk. 1), nachdem sie sich zweimal nach dem Verfahrensstand erkundigt und die Beschwerdeerhebung angedroht hatte (Urk. 9/53-54). Erst danach wurde am 31. Oktober 2012 der Einkommensvergleich vom 31. Oktober 2012 (Urk. 8/3) erstellt.</w:t>
      </w:r>
    </w:p>
    <w:p>
      <w:r>
        <w:t>2.3Â Â Â Â  Die lÃ¤ngste Zeitpanne, wÃ¤hrend welcher die Beschwerdegegnerin untÃ¤tig geblieben ist, ist somit nach Lage der Akten zwischen der nochmaligen Stellungnahme durch den HaushaltabklÃ¤rungsdienst vom 12. April 2012 und der Erstellung des Einkommensvergleichs am 31. Oktober 2012. Diese Zeitspanne betrÃ¤gt sechseinhalb Monate. Dies erscheint, unter BerÃ¼cksichtigung, dass in der Gerichtspraxis eine UntÃ¤tigkeit des VersicherungstrÃ¤gers wÃ¤hrend neun bzw. zwÃ¶lf Monaten als rechtsverzÃ¶gernd betrachtet wurde, nicht Ã¼bermÃ¤ssig lang, zumal beim Einkommensvergleich nochmals Ãberlegungen zur Qualifikation der BeschwerdefÃ¼hrerin angestellt worden sind.</w:t>
      </w:r>
    </w:p>
    <w:p>
      <w:r>
        <w:t>3.Â Â Â Â Â Â  Damit erweist sich die RechtsverzÃ¶gerungsbeschwerde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Petra Oehmke</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