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IV.2012.01042 vom 22. April 2013</w:t>
      </w:r>
    </w:p>
    <w:p>
      <w:r>
        <w:t>ZH Sozialversicherungsgericht, 2013-04-22, DE</w:t>
      </w:r>
    </w:p>
    <w:p>
      <w:r>
        <w:rPr>
          <w:b/>
        </w:rPr>
        <w:t xml:space="preserve">Quelle: </w:t>
      </w:r>
      <w:r>
        <w:t>https://mcp.opencaselaw.ch/entscheid/zh_sozialversicherungsgericht_IV.2012.01042</w:t>
      </w:r>
    </w:p>
    <w:p>
      <w:r>
        <w:t>FR: ZH_SOZIALVERSICHERUNGSGERICHT IV.2012.01042 du 22 avril 2013</w:t>
      </w:r>
    </w:p>
    <w:p>
      <w:r>
        <w:t>IT: ZH_SOZIALVERSICHERUNGSGERICHT IV.2012.01042 del 22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Anfechtungsgegenstand ist die VerfÃ¼gung vom 28. August 2012, mit welcher die Beschwerdegegnerin gemÃ¤ss Dispositiv an der AbklÃ¤rung durch die (eine) Begutachtungsstelle Medas festgehalten hat (Urk. 2). Hierbei handelt es sich um eine ZwischenverfÃ¼gung im Sinne von Art. 55 Abs. 1 des Bundesgesetzes Ã¼ber den Allgemeinen Teil des Sozialversicherungsrechts (ATSG) in Verbindung mit Art. 5 Abs. 2 und Art. 46 des Bundesgesetzes Ã¼ber das Verwaltungsverfahren (VwVG), welche bei Bejahung des nicht wieder gutzumachenden Nachteils (Art. 46 Abs. 1 lit. a VwVG; BGE 132 V 93 E. 61) grundsÃ¤tzlich selbstÃ¤ndig mit Beschwerde angefochten werden kann.</w:t>
      </w:r>
    </w:p>
    <w:p>
      <w:r>
        <w:t>1.2Â Â Â Â  Streitig ist in diesem Verfahren zunÃ¤chst die Notwendigkeit einer weiteren Begutachtung.</w:t>
      </w:r>
    </w:p>
    <w:p>
      <w:r>
        <w:t>Â Â Â Â Â Â Â Â  Nach der bis im Juni 2011 geltenden hÃ¶chstrichterlichen Rechtsprechung stellte die Anordnung einer Begutachtung keine anfechtbare ZwischenverfÃ¼gung dar (BGE 132 V 93 E. 5). Diese Rechtsprechung wurde mit BGE 137 V 210 aufgegeben. Es wurde festgestellt, dass die nicht sachgerechte Begutachtung in der Regel einen rechtlichen und nicht nur einen tatsÃ¤chlichen Nachteil bewirken kÃ¶nne (BGE 137 V 210 E. 3.4.2.7). Aus diesem Grund sei die Eintretensvoraussetzung des nicht wieder gutzumachenden Nachteils im Rahmen einer verfassungs- und konventionskonformen Auslegung fÃ¼r das erstinstanzliche Verfahren bei der Anfechtung einer umstrittenen Gutachtensanordnung zu bejahen.</w:t>
      </w:r>
    </w:p>
    <w:p>
      <w:r>
        <w:t>1.3Â Â Â Â  Als Folge der vom Bundesgericht in BGE 137 V 210 aufgestellten Forderungen setzte der Bundesrat den neuen Artikel 72 bis der Verordnung Ã¼ber die Invalidenversicherung (IVV, AS 2011 5687) auf den 1. MÃ¤rz 2012 (AS 2011 5691) in Kraft. Demzufolge haben polydisziplinÃ¤re medizinische Gutachten, das heisst medizinische Gutachten, an denen drei und mehr Fachdisziplinen beteiligt sind (vgl. Kreisschreiben Ã¼ber das Verfahren in der Invalidenversicherung,</w:t>
      </w:r>
    </w:p>
    <w:p>
      <w:r>
        <w:t>KSVI, Stand 1. Februar 2013, Rz 2075), ausschliesslich bei einer Gutachterstelle zu erfolgen, mit welcher das Bundesamt fÃ¼r Sozialversicherungen (BSV) eine Vereinbarung getroffen hat (Abs. 1). Die Vergabe dieser AuftrÃ¤ge muss nach dem Zufallsprinzip erfolgen (Abs. 2).</w:t>
      </w:r>
    </w:p>
    <w:p>
      <w:r>
        <w:t>Â Â Â Â Â Â Â Â  Ebenfalls auf den 1. MÃ¤rz 2012 hin wurde das Verfahren der durch die IV-Stelle vorzunehmenden Anordnung von polydisziplinÃ¤ren Begutachtungen unter den Randziffern 2080 ff. im KSVI neu geregelt und im August 2012 sowie im Februar 2013 in einzelnen Punkten ergÃ¤nzt respektive abgeÃ¤ndert.</w:t>
      </w:r>
    </w:p>
    <w:p>
      <w:r>
        <w:t>1.4Â Â Â Â  Der vom BSV vorgesehene Verfahrensablauf gemÃ¤ss KSVI (am grundsÃ¤tzlichen Verfahrensablauf hat sich seit dem erstmaligen Erlass des Kreisschreibens nichts geÃ¤ndert) ist einmal in einer tabellarischen Ãbersicht (Rz 2080) und daneben beschreibend (Rz 2081-2089) festgehalten. Demnach soll das Verfahren zur Anordnung eines polydisziplinÃ¤ren Gutachtes grundsÃ¤tzlich in zwei Phasen ablaufen, die jeweils mit einer (anfechtbaren) ZwischenverfÃ¼gung abgeschlossen werden.</w:t>
      </w:r>
    </w:p>
    <w:p>
      <w:r>
        <w:t>Â Â Â Â Â Â Â Â  Die erste Phase umfasst drei Punkte: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