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IV.2012.01029 vom 19. September 2013</w:t>
      </w:r>
    </w:p>
    <w:p>
      <w:r>
        <w:t>ZH Sozialversicherungsgericht, 2013-09-19, DE</w:t>
      </w:r>
    </w:p>
    <w:p>
      <w:r>
        <w:rPr>
          <w:b/>
        </w:rPr>
        <w:t xml:space="preserve">Quelle: </w:t>
      </w:r>
      <w:r>
        <w:t>https://mcp.opencaselaw.ch/entscheid/zh_sozialversicherungsgericht_IV.2012.01029</w:t>
      </w:r>
    </w:p>
    <w:p>
      <w:r>
        <w:t>FR: ZH_SOZIALVERSICHERUNGSGERICHT IV.2012.01029 du 19 septembre 2013</w:t>
      </w:r>
    </w:p>
    <w:p>
      <w:r>
        <w:t>IT: ZH_SOZIALVERSICHERUNGSGERICHT IV.2012.01029 del 19 settembre 2013</w:t>
      </w:r>
    </w:p>
    <w:p>
      <w:pPr>
        <w:pStyle w:val="Heading2"/>
      </w:pPr>
      <w:r>
        <w:t>Erwägungen</w:t>
      </w:r>
    </w:p>
    <w:p>
      <w:r>
        <w:rPr>
          <w:b/>
        </w:rPr>
        <w:t>E. 1</w:t>
      </w:r>
    </w:p>
    <w:p>
      <w:r>
        <w:t>Die Sozialversicherungsanstalt des Kantons Zürich, IV-Stelle, sprach X.___ mit Verfügung vom 5. März 2012 eine ganze Invalidenrente mit Wirkung ab 1. November 2011 zu ( Urk. 8/56-66 ). In der Folge ersuchte er um Aus richtung einer Kinderrente für die bei se iner Ehefrau in Y.___ lebende</w:t>
      </w:r>
    </w:p>
    <w:p>
      <w:r>
        <w:t>Z.___ ( Urk. 8/43+45 ). Mit Verfügung vom 1 6. Juli 2012 beurteilte die IV-Stelle das Gesuch abschlägig ( Urk. 8/79). Daran hielt sie mit Einspracheent scheid vom 2 7. August 2012 fest . Zugleich verneinte sie einen Anspruch auf unentgeltliche Rechtsverbeist ändung für das Verwaltungs - verfahren ( Urk. 2).</w:t>
      </w:r>
    </w:p>
    <w:p>
      <w:r>
        <w:rPr>
          <w:b/>
        </w:rPr>
        <w:t>E. 2</w:t>
      </w:r>
    </w:p>
    <w:p>
      <w:r>
        <w:t>.2</w:t>
      </w:r>
    </w:p>
    <w:p>
      <w:r>
        <w:t>Männer und Frauen, denen eine Invalidenrente zusteht, haben für jedes Kind, das im Falle ihres Todes eine Waisenrente der Alters- und Hinterlassenenversi cherung beanspruchen könnte, Anspruch auf eine Kinderrente ( Art. 35 Abs. 1</w:t>
      </w:r>
    </w:p>
    <w:p>
      <w:r>
        <w:t>des Bundesgesetzes über die Invalidenversicherung [IVG] ). Für Pflegekinder, die erst nach Eintritt der Invalidität in Pflege genommen werden, besteht ein An spruch jedoch nur, wenn es sich um die Kinder des an deren Ehegatten handelt ( Art. 35 Abs.</w:t>
      </w:r>
    </w:p>
    <w:p>
      <w:r>
        <w:rPr>
          <w:b/>
        </w:rPr>
        <w:t>E. 2.1</w:t>
      </w:r>
    </w:p>
    <w:p>
      <w:r>
        <w:t>Streitig und zu prüfen ist, ob der Beschwerdeführer</w:t>
      </w:r>
    </w:p>
    <w:p>
      <w:r>
        <w:t>Anspruch auf eine Kinder rente für Z.___ hat. Die Beantwortung dieser Frage hängt davon ab, ob zwischen ihm und Z.___ ein Pflegekindverhältnis besteht.</w:t>
      </w:r>
    </w:p>
    <w:p>
      <w:r>
        <w:rPr>
          <w:b/>
        </w:rPr>
        <w:t>E. 2.4</w:t>
      </w:r>
    </w:p>
    <w:p>
      <w:r>
        <w:t>hievor ). Da die Kinderrent e akzessor isch zum Rentenan spruch ist, muss</w:t>
      </w:r>
    </w:p>
    <w:p>
      <w:r>
        <w:t>das</w:t>
      </w:r>
    </w:p>
    <w:p>
      <w:r>
        <w:t>Pflegekindverhältnis zu ihm als rent enberechtigte Person bestehen . Es ge nügt nicht, wenn ein solches zwisc hen seiner Ehefrau u nd Z.___ vor liegt . Der Beschwerdeführer geht fehl, wenn er argumentiert, sein Wohnsitz sei unerheblich. Ohne gemeinsamen Wohnsitz beziehungsweise ohne Hausgemein schaft ist eine faktische Obhut über ein Kind und damit ein Pflege kindverhältnis nicht möglich.</w:t>
      </w:r>
    </w:p>
    <w:p>
      <w:r>
        <w:t>Unterhalt szahlungen vermögen dieses Erfordernis nicht zu erset zen. Dies führt ohne Weiteres zur Abweisung der Beschwerde.</w:t>
      </w:r>
    </w:p>
    <w:p>
      <w:r>
        <w:rPr>
          <w:b/>
        </w:rPr>
        <w:t>E. 3</w:t>
      </w:r>
    </w:p>
    <w:p>
      <w:r>
        <w:t>IVG). Bei der Kinderrente handelt es sich um einen im Verhältnis zur Haupt- oder Stammrente akzessorischen An spruch des Rentners (vgl. Art. 35 Abs.</w:t>
      </w:r>
    </w:p>
    <w:p>
      <w:r>
        <w:rPr>
          <w:b/>
        </w:rPr>
        <w:t>E. 3.1</w:t>
      </w:r>
    </w:p>
    <w:p>
      <w:r>
        <w:t>Z.___ wurde am 3. März 1993 geboren. Der Beschwerdeführer sowie seine Ehefrau , A.___ , nahmen sie i m Laufe des Jahres 1994 bei sich auf , nachdem ihr Vater verstorben war und sich ihre Mutter nicht mehr um sie ge kümmert hatte. Am 1 6. Mai 1995 wurde A.___</w:t>
      </w:r>
    </w:p>
    <w:p>
      <w:r>
        <w:t>zu ihrem Vor m und</w:t>
      </w:r>
    </w:p>
    <w:p>
      <w:r>
        <w:t>bestellt ( Urk. 8/17). Der Beschwerdeführer seinerseits war zuvor am 1 7. April 1994 aus erwerblichen Gründen in die Schweiz emigrier t ( Urk. 8/30/2).</w:t>
      </w:r>
    </w:p>
    <w:p>
      <w:r>
        <w:rPr>
          <w:b/>
        </w:rPr>
        <w:t>E. 3.2</w:t>
      </w:r>
    </w:p>
    <w:p>
      <w:r>
        <w:t>Die V erwaltung</w:t>
      </w:r>
    </w:p>
    <w:p>
      <w:r>
        <w:t>verneinte ein Pflegeverhältnis zwischen dem Beschwerdeführer und Z.___ . Es fehle an der faktischen Obhut. Seit 1 7. April 1994 lebe der Beschwerdeführer in d er Schweiz. Er habe demnach die unmündige Z.___</w:t>
      </w:r>
    </w:p>
    <w:p>
      <w:r>
        <w:t>nie zur dauernden Pflege und Erziehung aufgenommen. Daran ändere nichts, dass er für ihren Unterhalt aufkomme, die Familie in Y.___ gelegent lich besuche und in regelmässigem telefonischem Kontakt mit ihr stehe. Ob a l len falls</w:t>
      </w:r>
    </w:p>
    <w:p>
      <w:r>
        <w:t>ein Pflegekindverhältnis zwischen seiner Ehefrau und Z.___ be stehe , sei unerheblich . Entscheidend sei einzig, dass ein solches zwischen ihm und</w:t>
      </w:r>
    </w:p>
    <w:p>
      <w:r>
        <w:t>Z.___</w:t>
      </w:r>
    </w:p>
    <w:p>
      <w:r>
        <w:t>zu verneinen sei ( Urk. 2, vgl. auch Urk. 7).</w:t>
      </w:r>
    </w:p>
    <w:p>
      <w:r>
        <w:rPr>
          <w:b/>
        </w:rPr>
        <w:t>E. 3.3</w:t>
      </w:r>
    </w:p>
    <w:p>
      <w:r>
        <w:t>Der Beschwerdeführer hält der vorinstanzlichen Beurteilung im Wesentlichen entgegen, a ufgrund der ehelichen Rollenverteilung komme er für den Unterhalt auf, während seine Ehefrau für die Erziehung zuständig sei. Nur weil er aus er werblichen Gründen nicht in Y.___ bei seiner Familie wohnhaft sei, habe dies nicht zur Folge, dass zwischen ihm und Z.___ kein Pflegek indverhältnis bestehe ( Urk. 1).</w:t>
      </w:r>
    </w:p>
    <w:p>
      <w:r>
        <w:rPr>
          <w:b/>
        </w:rPr>
        <w:t>E. 3.4</w:t>
      </w:r>
    </w:p>
    <w:p>
      <w:r>
        <w:t>Der Beschwerdeführer argumentiert losgelöst von der Rechtsprechung zur Pfle ge kindschaft , die das Vorliegen einer faktischen Obhut über das Kind voraus setzt</w:t>
      </w:r>
    </w:p>
    <w:p>
      <w:r>
        <w:t>(vgl. dazu 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 AN/SO/ESversandt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