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IV.2012.00543 vom 3. April 2013</w:t>
      </w:r>
    </w:p>
    <w:p>
      <w:r>
        <w:t>ZH Sozialversicherungsgericht, 2013-04-03, DE</w:t>
      </w:r>
    </w:p>
    <w:p>
      <w:r>
        <w:rPr>
          <w:b/>
        </w:rPr>
        <w:t xml:space="preserve">Quelle: </w:t>
      </w:r>
      <w:r>
        <w:t>https://mcp.opencaselaw.ch/entscheid/zh_sozialversicherungsgericht_IV.2012.00543</w:t>
      </w:r>
    </w:p>
    <w:p>
      <w:r>
        <w:t>FR: ZH_SOZIALVERSICHERUNGSGERICHT IV.2012.00543 du 3 avril 2013</w:t>
      </w:r>
    </w:p>
    <w:p>
      <w:r>
        <w:t>IT: ZH_SOZIALVERSICHERUNGSGERICHT IV.2012.00543 del 3 aprile 2013</w:t>
      </w:r>
    </w:p>
    <w:p>
      <w:pPr>
        <w:pStyle w:val="Heading2"/>
      </w:pPr>
      <w:r>
        <w:t>Erwägungen</w:t>
      </w:r>
    </w:p>
    <w:p>
      <w:r>
        <w:rPr>
          <w:b/>
        </w:rPr>
        <w:t>E. 1.1</w:t>
      </w:r>
    </w:p>
    <w:p>
      <w:r>
        <w:t>X.___ , geboren am 6. November 2008, leidet an einer angeborenen spinalen Muskelatrophie Typ I (Berichte des A.___ vom 27. Januar und vom 24. Februar 2009, Urk. 7/11 und Urk. 7 /20). Die Sozialver sicherungsanstalt des Kantons Zürich (SVA), IV-Stelle, qualifizierte dieses Lei den als heredo -degenerative Erkrankung des Nervensystems nach Ziffer 383 des Anhangs zur Verordnung über die Geburtsgebrechen ( GgV ; vgl. das Feststel lungsblatt vom 9. März 2009 mit der regional ärztlichen Stellungnahme, Urk. 7 /21), anerkannte dementsprechend ihre Leistungspflicht und kam für die Kosten von medizinischen Massnahmen einschliesslich Spitex sowie von Hilfs mitteln auf (vgl. die Leistungsübersicht en in Urk. 7/157 und</w:t>
      </w:r>
    </w:p>
    <w:p>
      <w:r>
        <w:t>Urk. 7/237 ).</w:t>
      </w:r>
    </w:p>
    <w:p>
      <w:r>
        <w:t>Ausserdem bezieht X.___ eine Hilflosenentschädigung und einen Inten sivpflegezuschlag .</w:t>
      </w:r>
    </w:p>
    <w:p>
      <w:r>
        <w:t>D iese Leistungen waren Gegenstand eines früheren Verfahrens am Sozialversicherungsgericht . D em Versicherten wurden damals mit Urteil vom 2 6. September 2011 höhere Beträge aufgrund einer höheren Hilflosigkeit und eines höheren invaliditätsbedingten Betreuungsbedarfs zuge sprochen ( Urk. 7/268; Prozess Nr. IV.2010.01003), und das Urteil blieb unange foch ten.</w:t>
      </w:r>
    </w:p>
    <w:p>
      <w:r>
        <w:t>Gegenstand eines weiteren Gerichtsverfahrens war eine Verfügung vom 1 7. Mai 2010, mit der die IV-Stelle es abgelehnt hatte, die Kosten für ein mobiles, in der Höhe verstellbares Kinderbett zu übernehmen ( Urk. 7 /159). Mit Urteil ebenfalls vom 2 6. September 2011 hiess das Sozialversicherungsgericht die Beschwerde dagegen in dem Sinne gut, dass es die Verfügung vom 1 7. Mai 2010 aufhob und die Sache an die IV-Stelle zu weiter en Abklärungen zurückwies (Urk. 7/267 ; Prozess Nr. IV.2010.00571 ). Auch dieses Urteil blieb unangefoch ten.</w:t>
      </w:r>
    </w:p>
    <w:p>
      <w:r>
        <w:rPr>
          <w:b/>
        </w:rPr>
        <w:t>E. 1.2</w:t>
      </w:r>
    </w:p>
    <w:p>
      <w:r>
        <w:t>Das Sozialversicherungsgericht hielt im Urteil vom 2 6. September 2011 betref fend das mobile Kinderbett fest, die Kosten seien weder unter dem Titel „Hilfs mittel für die Selbstsorge“ in Ziffer 14 des Anhang s zur Verordnung über die Abgabe von Hilfsmitteln durch die Invalidenversicherung (HVI) noch als not wendiger Bestandteil von medizinischen Eingliederungsmassnahmen zu über nehmen ( Urk. 7/267 E. 3.1 und E. 3.2), hingegen sei näher zu prüfen, ob eine Kostenübernahme unter dem Titel „Rollstühle“ in Ziffer 9 de s Anha ngs zur HVI gerechtfertigt sei ( Urk. 7/267 E. 3.3). Dabei wies das Gericht darauf hin, dass bei der IV-Stelle noch ein Gesuch vom 14. September 2010 um Kostenübernahme für ein sogenanntes Vakuumbett hängig sei (vgl. Urk. 7/188). Dieses Gesuch schliesse das frühere Gesuch vom 1 9. Januar 2010 um Übernahme der Kosten für das mobile Elektrobett zwar nicht aus, die IV-Stelle habe aber doch zu be achten, dass die Funktion der Förderung der Fortbewegung beiden Hilfsmitteln gemeinsam sei, und habe deshalb der Frage nachzugehen, ob eine Beschrän kung auf eines der beiden Hilfsmittel a ngezeigt sei . Zudem sei in den E ntscheid der IV-Stelle ein zubeziehen, dass dem Versicherten am</w:t>
      </w:r>
    </w:p>
    <w:p>
      <w:r>
        <w:t>9. Dezember 2009 und am 8. Februar 2010 (vgl. Urk. 7/99 und Urk. 7/126) bereits ein Kostenbeitrag an ei nen Kinderwagen und an dessen Anpassung gewährt worden sei ( Urk. 7/267 E. 1 und E. 3.3).</w:t>
      </w:r>
    </w:p>
    <w:p>
      <w:r>
        <w:rPr>
          <w:b/>
        </w:rPr>
        <w:t>E. 1.3</w:t>
      </w:r>
    </w:p>
    <w:p>
      <w:r>
        <w:t>Bereits während des hängigen, mit Urteil vom 2 6. September 2011 abgeschlosse nen Gerichtsverfahrens hatte die IV-Stelle am 2 2. Dezember 2010 die Kostenübernahme ( Fr. 14‘508.05) für die leihweise Abgabe eines Liegefahr gestelles mit Vakuumbett zugesprochen ( Urk. 7/210).</w:t>
      </w:r>
    </w:p>
    <w:p>
      <w:r>
        <w:t>In der Folge leistete die IV-Stelle am 1 7. Oktober 2011 Kostengutsprache für Rumpforthesen und Unterschenkelorthesen ( Urk. 7/277 und Urk. 7/278). Ferner sprach sie dem Versicherten am 3 0. Oktober 2011 ( Urk. 7/283) die Kostenüber nahme für ein Zimmeruntergestell der Marke „Bingo Evolution“ zu einem Buggy zu, und mit Verfügung vom 6. Dezember 2011 ( Urk. 7/301) gewährte sie ihm einen Kostenbeitrag in der Höhe von Fr. 9‘713.45 an einen Buggy d er Marke „Bingo Evolution“ ( vgl. auch die Kostenvoranschläge der Firma B.___ vom 1 3. und vom 2 5. Juli 2011, Urk. 7/257 und Urk. 7/255, und die fachtechnische Beurteilung des SAHB-Hilfsmittelzentrums vom 1 1. Oktober 2010, Urk. 7/272 ). Hingegen hi elt sie mit Vorbescheid vom 13. Ja nuar 2012 und Verfügung vom 2 3. Februar 2012 fest, dem Versicherten sei in Form des Vakuumbettes bereits ein Fortbewegungsmittel zugesprochen worden , weshalb die Kosten für das Elektrobett nicht über nommen würden (Urk. 7/310 und Urk. 7/325 ; vgl. auch das Feststellungsblatt vom 1 3. Januar 2012, Urk. 7/309 ).</w:t>
      </w:r>
    </w:p>
    <w:p>
      <w:r>
        <w:rPr>
          <w:b/>
        </w:rPr>
        <w:t>E. 1.4</w:t>
      </w:r>
    </w:p>
    <w:p>
      <w:r>
        <w:t>Mit fachtechnischer Beurteilung vom 1. Februar 2012 war die SAHB-Hilfsmittel beratung an die IV-Stelle gelangt, hatte sich auf einen Kostenvoran schlag der Firm a</w:t>
      </w:r>
    </w:p>
    <w:p>
      <w:r>
        <w:t>B.___ vom 1 0. November 2011 im Betrag von Fr. 4‘005.70 berufen ( Urk. 7/295) und hatte um Übernahme der Kosten für eine zweite Sitzschale ersucht, die zusätzlich zu derjenigen des Buggy angeschafft und auf dem Zim meruntergestell angebracht werde ( Urk. 7/315). Mit Vorbescheid vom 2 1. Februar 2012 hatte die IV-Stelle den El tern des Versicherten mitgeteilt, dass sie die Übernahme der Kosten der zweiten Sitzschale abzulehnen gedenke ( Urk. 7/323 ).</w:t>
      </w:r>
    </w:p>
    <w:p>
      <w:r>
        <w:t>D ie Eltern erhoben mit Schreiben vom 4. März 2012 Einwendungen ( Urk. 7/329). Ferner hatte die Firma C.___ der IV Stelle eine Rechnung vom 2 9. Februar 2012 im Betrag von Fr. 1‘613.70 für invaliditätsbedingte Anpassungen an einem Buggy der Marke „ Hoggi “ zukommen lassen ( Urk. 7/331). Sodann brachten die Eltern a m 2 2. März 2012 d en ersten, mit Verfügung vom 8. Februar 2010 zugesprochenen Buggy der Marke „Teutonia“ (vgl. Urk. 7/126) sowie das am 2 2. Dezember 2010 übernommene Liegefahrgestell mit Vakuumbett (vgl. Urk. 7/210) an die Depot stelle des SAHB-Hilfsmittelzentrums zurück ( Urk. 7/336 und Urk. 7/337 ).</w:t>
      </w:r>
    </w:p>
    <w:p>
      <w:r>
        <w:t>Nach dem die IV-Stelle den Bericht von Dr. med. D.___ vom 2 9. März 2009 eingeholt hatte ( Urk. 7/339), hielt sie mit Verfügung vom 1 3. April 2012 an der Ablehnung der Kostengutsprache für die zweite Sitzschale fest ( Urk.</w:t>
      </w:r>
    </w:p>
    <w:p>
      <w:r>
        <w:rPr>
          <w:b/>
        </w:rPr>
        <w:t>E. 2</w:t>
      </w:r>
    </w:p>
    <w:p>
      <w:r>
        <w:t>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Die Versicherung gibt die Hilfsmittel zu Eigentum oder leihweise in einfacher und zweckmässiger Ausführung ab. Ersetzt ein Hilfsmittel Gegenstände, die der Versicherte auch ohne Invalidität anschaffen müsste, so hat er sich an den Kosten zu be teiligen ( Abs. 3). Der Bundesrat kann vorsehen, dass der Versicherte ein leihweise abgegebenes Hilfsmittel nach Wegfall der Anspruchsvoraussetzungen weiter verwenden darf ( Abs. 4).</w:t>
      </w:r>
    </w:p>
    <w:p>
      <w:r>
        <w:t>Die Befugnis zur Aufstellung der Hilfsmittelliste und zum Erlass ergänzender Vorschriften im Sinne von Art. 21 Abs.</w:t>
      </w:r>
    </w:p>
    <w:p>
      <w:r>
        <w:rPr>
          <w:b/>
        </w:rPr>
        <w:t>E. 2.1</w:t>
      </w:r>
    </w:p>
    <w:p>
      <w:r>
        <w:t>Die versicherte Person hat Anspruch auf die Eingliederungsmassnahmen, die in Art. 8 des Bundesgesetzes über die Invalidenversicherung (IVG) aufgelistet sind. Darunter fallen unter anderem die Hilfsmittel (Art. 8 Abs. 3 lit . d IVG).</w:t>
      </w:r>
    </w:p>
    <w:p>
      <w:r>
        <w:rPr>
          <w:b/>
        </w:rPr>
        <w:t>E. 2.2</w:t>
      </w:r>
    </w:p>
    <w:p>
      <w:r>
        <w:t>Gemäss Art. 21 Abs. 1 IVG hat die versicherte Person im Rahmen einer vom Bundesrat aufzustellenden Liste Anspruch auf jene Hilfsmittel, deren sie für die Ausübung der Erwerbstätigkeit oder der Tätigkeit im Aufgabenbereich, zur Er haltung oder Verbesserung der Erwerbsfähigkeit, für die Schulung, die Aus- und Weiterbildung oder zum Zwecke der funktionellen Angewöhnung bedarf. Ferner bestimmt Art. 21 Abs.</w:t>
      </w:r>
    </w:p>
    <w:p>
      <w:r>
        <w:rPr>
          <w:b/>
        </w:rPr>
        <w:t>E. 2.3</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 deckt werden. Der Bundesrat oder das Departement sind daher durch das Gesetz nicht verpflichtet, sämtliche Hilfsmittel, derer eine invalide Person bedarf, in die Hilfsmittelliste aufzunehmen. Vielmehr kann der Verordnungsgeber eine Aus wahl treffen und die Zahl der Hilfsmittel beschränken; dabei steht ihm ein wei ter Gestaltungsspielraum zu, da das Gesetz keine weiterführenden Auswahlkri terien enthält. Die Liste der von der Invalidenversicherung abzugebenden Hilfsmittel ist insofern abschliessend, als sie die in Frage kommenden Hilfsmit telkategorien aufzählt; dagegen ist innerhalb der einzelnen Kategorien jeweils zu prüfen, ob die Aufzählung der einzelnen Hilfsmittel ebenfalls abschliessend oder bloss exemplifikatorisch ist (BGE 131 V 107 E. 3.4.3). Lässt sich ein Hilfs mittel keiner der im HVI Anhang aufgeführten Kategorien zuordnen, ist es nicht zulässig, den Anspruch auf Kostenübernahme durch die Invalidenversicherung direkt aus der Zielsetzung des Gesetzes abzuleiten, da damit das de m Bundesrat beziehungsweise dem Departement eingeräumte Auswahlermessen durch dasje nige der Verwaltung und des Gerichts ersetzt würde (BGE 131 V 107 E. 3.4.2 mit Hinweisen). 3. 3.1</w:t>
      </w:r>
    </w:p>
    <w:p>
      <w:r>
        <w:t>Zur Zeit des Erlasses der angefochtenen Verfügung vom 1 3. April 2012 ( Urk. 2)</w:t>
      </w:r>
    </w:p>
    <w:p>
      <w:r>
        <w:t>stand dem Versicherten für die Fortbewegung draussen ein Buggy der Marke „Bingo Evolution“ zur Verfügung ( Urk. 7/301); Bestandteil dieses Buggy ist eine abmontierbare Sitzschale (vgl. Urk. 7/257). Für den Aufenthalt und die Fortbe wegung im Hausinnern verfügte der Versicherte über ein Zimmeruntergestell auf Rollen (vgl. Urk. 7/255, Urk. 7/272 und Urk. 7/283), auf welchem die ab montierte Sitzschale des Aussen untergestells</w:t>
      </w:r>
    </w:p>
    <w:p>
      <w:r>
        <w:t>jewe ils befestigt wurde. Die SHAB-Hilfsmittelberatung hielt i n der fachtechnischen Beurteilung zuhanden der Be schwerdegegnerin vom 1. Februar 2012 fest, mit der beant ragten zweiten Sitz schale könne v ermieden werden, dass für den Transfer d es Versicherten vom Aussengestell ins Zimmer und umgekehrt jedesmal die Sitzschale ab- und wie der anmontiert werden müsse, was sehr arbeitsintensiv und von hoher körperli cher Belastung sei ( Urk. 7/315 ).</w:t>
      </w:r>
    </w:p>
    <w:p>
      <w:r>
        <w:t>Aufgrund dieser Aussage s tellte sich d ie Be schwerdegegnerin im Vorbescheid und in der angefochtenen Verfügung auf den Standpunkt, die zweite Sitzschale sei invaliditätsbedingt nicht zwingend not wendig, sondern erleichtere lediglich die Handhabung, indem die Umplatzierung vom Aussenuntergestell auf das Zimmeruntergestell wegfalle ( Urk. 2 S. 1, U rk. 7/323 und Urk. 7/341). 3.2</w:t>
      </w:r>
    </w:p>
    <w:p>
      <w:r>
        <w:t>D ie Eltern des Versicherten</w:t>
      </w:r>
    </w:p>
    <w:p>
      <w:r>
        <w:t>hielten dieser Auffassung in der Stellungnahme vom 4. März 2012 zum Vorbescheid entgegen , die beiden Sitzschalen könnten nicht (mehr) ausgetauscht beziehungsweise transferiert werden, da sie an verschie dene Zwecke angepasst worden seien ( Urk. 7/329). Diese Anpassungen können entgegen der Annahme der Beschwerdegegnerin nicht (nur) die Vorrichtung zum Anbringen der Sitzschalen auf dem Aussenuntergestell und dem Zimme r untergestell betroffen haben. Vielmehr waren gemäss dem Kostenvoranschlag vom 1 0. November 2011 Anpassungen im Innern der Sitzschale vorgesehen, wie beispielsweise das Anbringen einer Fussbank und eines Fussbrettes sowie einer verstellbaren Kniewinkelanlage ( Urk. 7/295), und Dr. D.___ nannte im Bericht vom 2 9. März 2012 Schaumstoffunterlagen zur Prävention von Druckstellen am Rücken ( Urk. 7/339).</w:t>
      </w:r>
    </w:p>
    <w:p>
      <w:r>
        <w:t>Weder den Angaben im Kostenvoranschlag noch den Ausführungen von Dr. D.___ und den Vorbringen der Eltern des Versicherten kann allerdings abschliessend entnommen werden, ob es sich bei der zweiten Sitzschale effektiv um ein Modell handelt, das sich von der ersten Sitzschale ir reversibel unterscheidet . In diesem Fall hätten die beiden Sitzschalen entspre chend der Stellungnahme der Eltern des Versicherten unter Umständen tatsäch lich verschiedene Zwecke und die Anschaffung der zweiten Schale würde nicht allein der Erleichterung der Handhabung dienen. Eher gegen einen wesentli chen, irreversiblen Unterschied in den beiden Sitzschalen spricht ein Vergleich zwischen dem Kostenvoranschl ag für die erste Schale vom 13. Juli 2011 (Urk. 7/257) und dem Kostenvoranschlag für die zweite Scha le vom 10. November 2011 ( Urk. 7/295). Anhaltspunkte für eine unterschiedliche Zweckbestimmung finden sich hingegen in der Beschwerdeschrift, wo dargetan wird, die Sitzschale für den Aussenbereich sei breiter und tiefer, da der Versi cherte im Freien ein 15 cm dickes Korsett tragen müsse , und die Sitzbreite und –tiefe der beiden Schalen könne von den Eltern nicht geändert werden ( Urk. 1 S. 4 f.).</w:t>
      </w:r>
    </w:p>
    <w:p>
      <w:r>
        <w:t>Es wird aber nicht klar, ob diese unterschiedliche Ausstattung bereits Gegenstand des Kostenvoranschlags der Firma B.___</w:t>
      </w:r>
    </w:p>
    <w:p>
      <w:r>
        <w:t>vom 1 0. November 2011 war ( Urk. 7/295) oder erst im Kostenvoranschlag der Firma C.___ vom 2 9. Februar 2012 enthalten war ( Urk. 7/331). Im letzteren Kostenvoranschlag ist allerdings von einem Buggy der Marke „ Hoggi “ die Rede, was zur Frage führt, ob es hier um einen weiteren Buggy geht, der zusätzlich zu den beiden zur Diskussion stehenden Sitzschalen und Unterge stellen angeschafft worden ist.</w:t>
      </w:r>
    </w:p>
    <w:p>
      <w:r>
        <w:t>Zur Klärung dieser Fragen bedarf es einer ergänzenden Abklärung durch eine Abklärungsperson der Beschwerdegegnerin beziehungsweise durch eine von der Beschwerdegegnerin beauftragte Abklärungsperson de r SAHB (vgl. Rz 2077 des Kreisschreibens über die Abgabe von Hilfsmitteln durch die Invalidenversiche rung [KHMI]).</w:t>
      </w:r>
    </w:p>
    <w:p>
      <w:r>
        <w:t>Lassen sich anhand dieser Abklärungen die Anhaltspunkte für eine unterschiedliche Zweckbestimmung der zweiten Sitzschale bestätigen, so fällt deren Übernahme unter dem Titel „Rollstühle“ nach Ziffer 9 des Anhangs zur HVI in Betracht; in Rz 2080 KHMI wird ausdrücklich auf die Möglichkeit hingewiesen, anstelle eines Rollstuhls ein alternatives Hilfsmittel abzugeben, das der Fortbewegung dient, und die Sitzschale mit Untergestell wird explizit erwähnt. E ntsprechend dem Hinweis der Beschwerdegegnerin ( Urk. 2 S. 1) trifft zwar zu, dass das Kreisschreiben eine zusätzliche, gleichartige Hilfsmittelversor gung dort ausschliesst, wo der versicherten Person bereits ein alternatives Fort bewegungsmittel als Behandlungs- oder Therapiegerät zugesprochen worden ist ( Rz 2080 KHMI). Diese Vorschrift ist jedoch hier nicht einschlägig, da weder die eine noch die andere Sitzschale (entgegen den Darlegungen in der Beschwerde schrift; vgl. Urk. 1 S. 6) als Behandlungsgerät, das heisst als notwendiger Be standteil einer medizinischen Massnahme, qualifiziert werden kann (vgl. die Erwägungen des Sozialversicherungsgerichts im Urteil vom 2 6. September 2011, Urk. 7/267 E. 3.2). Hinzu kommt, dass die betreffende Vorschrift nur gleichar tige Hilfsmittel ausschliesst. Hingegen spricht dort nichts gegen eine Abgabe von zwei alternativen Fortbewegungs mitteln, wo auch die Abgabe eines zweiten Rollstuhls in Frage kommt ,</w:t>
      </w:r>
    </w:p>
    <w:p>
      <w:r>
        <w:t>also in eingehend begründeten Ausnahmefällen, die ein Abgehen vom Grundsatz rechtfertigen, dass nur Anspruch auf einen einzi gen Rollstuhl besteht (vgl. Rz 2075 KHIM) . Eine solche Ausnahme wäre bei ei ner unterschiedlichen Zweckbestimmung der beiden Sitzschalen zu bejahen, unter Umständen aber auch schon d ann – was durch die Abklärungsperson ebenfalls zu verifizie ren sein wird –, wenn der Sitzschalentransfer tatsächlich mit einem erheblichen, nicht mehr zumutbaren Aufwand verbunden ist. Dies hatte das SHAB-Hilfsmittelzentrum in der Beurteilung vom 1 1. Oktober 2011 allerdings implizit verneint mit der Angabe, die Sitzschale des Buggy könne mit einfachen Handgriffen vom Strassenuntergestell abgenommen und auf ein Zimmer unter gestell montiert werden ( Urk. 7/272 S. 2). 3.3</w:t>
      </w:r>
    </w:p>
    <w:p>
      <w:r>
        <w:t>Eine Übernahme gestützt auf Ziffer 13 des Anhangs zur HVI, wie in der Beschwer deschrift geltend gemacht (vgl. Urk. 1 S. 8) und auch vom SHAB-Hilfsmittelzentrum e rwähnt ( Urk. 7/272 und Urk. 7/31 5), fällt hingegen ausser Betracht. Denn diese Ziffer steht unter der Überschrift "Hilfsmittel am Arbeits platz, im Aufgabenbereich, zur Schulung und Ausbildung sowie bauliche Vor kehren zur Überwindung des Arbeitsweges"; Voraussetzung für einen Anspruch auf die dort aufgeführten Hilfsmittel ist somit die Förderung der Eingliederung im Erwerbsbereich oder im Haushalt im Sinne von Art. 21 Abs. 1 IVG. 3.4</w:t>
      </w:r>
    </w:p>
    <w:p>
      <w:r>
        <w:t>Damit ist die angefochtene Verfügung vom 1 3. April 2012 aufzuheben und die Sache ist an die Beschwerdegegnerin zum Vorgehen im Sinne der Erwägungen zurückzuweisen.</w:t>
      </w:r>
    </w:p>
    <w:p>
      <w:r>
        <w:rPr>
          <w:b/>
        </w:rPr>
        <w:t>E. 4</w:t>
      </w:r>
    </w:p>
    <w:p>
      <w:r>
        <w:t>Gestützt auf Art. 69 Abs. 1 bis IVG ist das Verfahren für die unterliegende Be schwerdegegnerin kostenpflichtig. Die Kosten sind unter Berücksichtigung des gesetzlichen Rahmens (Fr. 200.-- bis Fr. 1'000.--) ermessensweise auf Fr. 400.-- festzusetzen.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