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IV.2012.00536 vom 24. September 2013</w:t>
      </w:r>
    </w:p>
    <w:p>
      <w:r>
        <w:t>ZH Sozialversicherungsgericht, 2013-09-24, DE</w:t>
      </w:r>
    </w:p>
    <w:p>
      <w:r>
        <w:rPr>
          <w:b/>
        </w:rPr>
        <w:t xml:space="preserve">Quelle: </w:t>
      </w:r>
      <w:r>
        <w:t>https://mcp.opencaselaw.ch/entscheid/zh_sozialversicherungsgericht_IV.2012.00536</w:t>
      </w:r>
    </w:p>
    <w:p>
      <w:r>
        <w:t>FR: ZH_SOZIALVERSICHERUNGSGERICHT IV.2012.00536 du 24 septembre 2013</w:t>
      </w:r>
    </w:p>
    <w:p>
      <w:r>
        <w:t>IT: ZH_SOZIALVERSICHERUNGSGERICHT IV.2012.00536 del 24 settembre 2013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1960, Mutter zweier Kinder, arbeitete zuletzt als Vor werksarbeiterin bei der Y.___ AG, welche das Arbeitsverhältnis am 1 0. Februar per Ende April 1999 kündigte ( Urk. 9/1 Ziff. 1.1-1.3, Ziff. 3.1, Ziff. 6.3.1, Urk. 9/4/1-4). Am 2 7. September 1999 meldete sich die Versicherte wegen eines chronischen Panvertebralsyndroms und eines chronischen Asthma bronchiale bei der Invalidenversicherung zum Leistungsbezug (Rente) an ( Urk. 9/1 Ziff. 7.2 und Ziff. 7.8).</w:t>
      </w:r>
    </w:p>
    <w:p>
      <w:r>
        <w:t>Die Sozialversicherungsanstalt des Kantons Zürich, IV-Stelle, holte Arztberichte ( Urk. 9/32/12-35), einen Arbeitgeberbericht ( Urk. 9/4/1-3) und einen Auszug aus dem individuellen Konto (IK-Auszug; Urk. 9/3, Urk. 9/17) ein und veran lasste eine psychiatrische Abklärung ( Urk. 9/32/1-5). Nach durchgeführtem Vorbescheidverfahren ( Urk. 9/13-14) sprach sie der Versicherten mit Verfügung vom 1 2. Januar 2001 mit Wirkung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