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IV.2012.00198 vom 25. Januar 2013</w:t>
      </w:r>
    </w:p>
    <w:p>
      <w:r>
        <w:t>ZH Sozialversicherungsgericht, 2013-01-25, DE</w:t>
      </w:r>
    </w:p>
    <w:p>
      <w:r>
        <w:rPr>
          <w:b/>
        </w:rPr>
        <w:t xml:space="preserve">Quelle: </w:t>
      </w:r>
      <w:r>
        <w:t>https://mcp.opencaselaw.ch/entscheid/zh_sozialversicherungsgericht_IV.2012.00198</w:t>
      </w:r>
    </w:p>
    <w:p>
      <w:r>
        <w:t>FR: ZH_SOZIALVERSICHERUNGSGERICHT IV.2012.00198 du 25 janvier 2013</w:t>
      </w:r>
    </w:p>
    <w:p>
      <w:r>
        <w:t>IT: ZH_SOZIALVERSICHERUNGSGERICHT IV.2012.00198 del 25 gennaio 2013</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rPr>
          <w:b/>
        </w:rPr>
        <w:t>E. 1.2</w:t>
      </w:r>
    </w:p>
    <w:p>
      <w:r>
        <w:t>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1.4Â Â Â Â  GemÃ¤ss Art. 88a Abs. 1 IVV ist bei einer Verbesserung der ErwerbsfÃ¤higkeit (seit 1. Januar 2004: oder der FÃ¤higkeit, sich im Aufgabenbereich zu betÃ¤tigen) oder bei einer Verminderung der Hilflosigkeit (seit 1. MÃ¤rz 2004: oder des invaliditÃ¤tsbedingten Betreuungsaufwandes, seit 1. Januar 2012: oder Hilfebedarfs)die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Die hiezu notwendige Prognose unterliegt dabei dem im Sozialversicherungsrecht Ã¼blichen Beweisgrad der Ã¼berwiegenden Wahrscheinlichkeit (BGE 119 V 7 E. 3c/aa mit Hinweisen).</w:t>
      </w:r>
    </w:p>
    <w:p>
      <w:r>
        <w:t>Â Â Â Â Â Â Â Â  Nach der bundesgerichtlichen Praxis zu Art. 88a Abs. 1 IVV (vgl. aus der jÃ¼ngeren Rechtsprechung Urteile des Bundesgerichts I 583/05 vom 15. MÃ¤rz 2006 E. 2.3.2, I 444/04 vom 11. Januar 2005 E. 5.3.2 und I 486/04 vom 14. Dezember 2004 E. 3.1) ist eine Rente bei Wegfall der InvaliditÃ¤t im Normalfall erst nach Ablauf von drei Monaten seit dem Eintritt der anspruchserheblichen VerÃ¤nderung aufzuheben (BGE 119 V 98 E. 4a, Urteil des Bundesgerichts I 569/06 vom 20. November 2006 E. 3.3).</w:t>
      </w:r>
    </w:p>
    <w:p>
      <w:r>
        <w:rPr>
          <w:b/>
        </w:rPr>
        <w:t>E. 2</w:t>
      </w:r>
    </w:p>
    <w:p>
      <w:r>
        <w:t>2.1Â Â Â Â  Die Beschwerdegegnerin ist in der angefochtenen VerfÃ¼gung davon ausgegangen, dass der BeschwerdefÃ¼hrer neu ein Invalideneinkommen von Fr. 39Â288.-- erziele, woraus im Vergleich mit dem Valideneinkommen ein InvaliditÃ¤tsgrad von 46 % resultiere (Urk. 2, VerfÃ¼gungsteil 2 S. 2 unten).</w:t>
      </w:r>
    </w:p>
    <w:p>
      <w:r>
        <w:t>2.2Â Â Â Â  DemgegenÃ¼ber machte der BeschwerdefÃ¼hrer geltend, es ergebe sich klar kein Hinweis auf eine Verbesserung des Gesundheitszustandes. Auch die erwerblichen VerhÃ¤ltnisse hÃ¤tten sich nicht geÃ¤ndert. Grundlage fÃ¼r das Urteil des hiesigen Gerichts vom 27. Mai 2011 sei die erwerbliche Situation gemÃ¤ss dem Z.___-Gutachten vom 24. Februar 2009 gewesen. Danach habe er eine ganze Rente bezogen und zeitweise als Hauswart-AblÃ¶sung in den Ferienzeiten ausgeholfen. Das Gutachten sei von einer ArbeitsfÃ¤higkeit von zirka 56 % ausgegangen. Dies sei im Urteil mit der Korrektur Ã¼bernommen worden, dass die HauswartstÃ¤tigkeit diverse Arbeiten enthalte, welche ihm nicht zumutbar seien. Das Invalideneinkommen sei deshalb gestÃ¼tzt auf TabellenlÃ¶hne ermittelt worden. Im Zeitpunkt der VerfÃ¼gung vom 12. Januar 2012 sei er zwar noch in einem AnstellungsverhÃ¤ltnis mit der Stiftung Obstgarten gewesen. Dieses sei ihm jedoch bereits mit Schreiben vom 30. Dezember 2011 auf Ende MÃ¤rz 2012 gekÃ¼ndigt worden. Somit liege kein stabiles ArbeitsverhÃ¤ltnis vor, und das Einkommen sei zudem ein Soziallohn gewesen. Er befinde sich wieder in der gleichen Situation, wie sie im Urteil vom 27. Mai 2011 beurteilt worden sei. Soweit sich in der Zwischenzeit erwerblich etwas verÃ¤ndert habe, habe sich dies als gescheiterter Arbeitsversuch herausgestellt. Mit Bezug auf die InvaliditÃ¤t habe sich demnach auch in erwerblicher Hinsicht nichts geÃ¤ndert (Urk. 1 S. 3-5). Â</w:t>
      </w:r>
    </w:p>
    <w:p>
      <w:r>
        <w:t>2.3Â Â Â Â  Streitig und zu prÃ¼fen ist, ob die Herabsetzung der bisherigen Dreiviertelsrente rechtens ist. Insbesondere fragt sich, ob sich der fÃ¼r den Rentenanspruch relevante Sachverhalt im Zeitraum vom Erlass der VerfÃ¼gung vom 12. November 2009 (Urk. 7/133), welche vom hiesigen Gericht materiell geprÃ¼ft und mit Urteil vom 27. Mai 2011 teilweise aufgehoben wurde, bis zum Erlass der angefochtenen VerfÃ¼gung vom 12. Januar 2012 (Urk. 2) in einer revisionserheblichen Weise verÃ¤ndert hat.</w:t>
      </w:r>
    </w:p>
    <w:p>
      <w:r>
        <w:rPr>
          <w:b/>
        </w:rPr>
        <w:t>E. 3</w:t>
      </w:r>
    </w:p>
    <w:p>
      <w:r>
        <w:t>3.1Â Â Â Â  Die erstmalige Rentenherabsetzung erfolgte vorwiegend gestÃ¼tzt auf das bidisziplinÃ¤re Gutachten vom 24. Februar 2009 (Urk. 7/105), erstattet von A.___, Medizinische Verantwortung, B.___, Facharzt fÃ¼r Neurologie, sowie vom konsiliarisch zugezogen C.___, Facharzt fÃ¼r Neurologie und Psychiatrie, (Z.___).</w:t>
      </w:r>
    </w:p>
    <w:p>
      <w:r>
        <w:t>Â Â Â Â Â Â Â Â  Sie nannten als Diagnose mit Auswirkung auf die ArbeitsfÃ¤higkeit einen Status nach stereotaktischer Subthalamotomie links (13. September 2002) und rechts (15. Januar 2003) bei chronisch therapieresistentem essentiellem Tremor mit persistierenden, mÃ¤ssig ausgeprÃ¤gten, Ã¼berwiegend die Feinmotorik beeintrÃ¤chtigenden KoordinationsstÃ¶rungen und geringfÃ¼gigen neuropsychologischen Defiziten (S. 15 lit. E Ziff. 1).</w:t>
      </w:r>
    </w:p>
    <w:p>
      <w:r>
        <w:t>Â Â Â Â Â Â Â Â  Als Diagnosen ohne Auswirkung auf die ArbeitsfÃ¤higkeit nannten die Z.___-Gutachter eine Agoraphobie (F40.0), wiederkehrende Lumbalgien ohne Nachweis nervenwurzelbezogener neurologischer Defizite, einen Zustand nach TÃ¶ff-Unfall mit operativ versorgtem Schenkelhalsbruch links, HypercholesterinÃ¤mie sowie eine erektile Dysfunktion (S. 15 lit. E Ziff. 2).Â</w:t>
      </w:r>
    </w:p>
    <w:p>
      <w:r>
        <w:t>Â Â Â Â Â Â Â Â  Sie fÃ¼hrten aus, der Gesundheitszustand des BeschwerdefÃ¼hrers habe sich seit 2004 kontinuierlich verbessert, nachdem es nach dem operativen Eingriff im Jahre 2003 zunÃ¤chst zu einer mehrere Monate anhaltenden Verschlechterung gekommen sei (S. 19).</w:t>
      </w:r>
    </w:p>
    <w:p>
      <w:r>
        <w:t>Â Â Â Â Â Â Â Â  In der bisherigen TÃ¤tigkeit als Hauswart sei der BeschwerdefÃ¼hrer von 2002 bis 2005 zu 100 % arbeitsunfÃ¤hig gewesen (S. 19). Seit 2005 sei der BeschwerdefÃ¼hrer in der bisherigen TÃ¤tigkeit als Hauswart zu einer 80%igen PrÃ¤senzzeit in der Lage. Dabei bestehe jedoch bedingt durch die KoordinationsstÃ¶rungen und die motorischen BeeintrÃ¤chtigungen lediglich eine LeistungsfÃ¤higkeit von 70 %. Somit bestehe beim BeschwerdefÃ¼hrer eine ArbeitsfÃ¤higkeit in der GrÃ¶ssenordnung von 56 % (S. 16 f., S. 19). Der BeschwerdefÃ¼hrer sei allerdings nach wie vor nicht in der Lage, TÃ¤tigkeiten mit Anforderungen an die feinmotorischen FÃ¤higkeiten, an schnell laufenden Maschinen, auf Leitern, GerÃ¼sten und unebenem Grund mit AbsturzgefÃ¤hrdung auszuÃ¼ben. Zudem sei auch das Arbeiten unter besonderem Zeitdruck fÃ¼r den BeschwerdefÃ¼hrer ungeeignet (S. 20).</w:t>
      </w:r>
    </w:p>
    <w:p>
      <w:r>
        <w:t>3.2Â Â Â Â  Am 13. August 2009 nahm Dr. A.___, Z.___, zu den von der Beschwerdegegnerin gestellten RÃ¼ckfragen (Urk. 7/120) Stellung (Urk. 7/122) und fÃ¼hrte aus, es zeige sich eine deutliche Besserung gegenÃ¼ber den von Dr. Â D.___ in der Vergangenheit beschriebenen neuropsychologischen Defiziten. Zudem seien die neurologischen Befunde im Vergleich zu den beschriebenen Vorbefunden gÃ¼nstiger ausgefallen, so dass von einer wesentlichen Verbesserung auszugehen sei. Es ergebe sich somit keine andere EinschÃ¤tzung des Gesundheitszustandes beziehungsweise der ArbeitsfÃ¤higkeit.</w:t>
      </w:r>
    </w:p>
    <w:p>
      <w:r>
        <w:t>3.3Â Â Â Â  Im Urteil vom 27. Mai 2011 (IV.2009.01141; Urk. 7/168) fÃ¼hrte das hiesige Gericht aus, das Z.___-Gutachten sei als beweistauglich einzustufen, die darin erfolgte Taxierung der angestammten Hauswart-TÃ¤tigkeit als gleichzeitig leidensangepasste vermÃ¶ge jedoch nicht zu Ã¼berzeugen. So umfasse diese TÃ¤tigkeit zweifellos eine Reihe von AktivitÃ¤ten, welche dem BeschwerdefÃ¼hrer gemÃ¤ss Zumutbarkeitsprofil gerade nicht mehr mÃ¶glich seien.</w:t>
      </w:r>
    </w:p>
    <w:p>
      <w:r>
        <w:t>Â Â Â Â Â Â Â Â  Das hiesige Gericht bezifferte sodann das Valideneinkommen fÃ¼r das Jahr 2009 mit Fr. 71Â920.-- und ermittelte bei einer angenommenen ArbeitsfÃ¤higkeit von 56 % gestÃ¼tzt auf den Ã¼blichen Tabellenlohn gemÃ¤ss Lohnstrukturerhebung (LSE 2008, Niveau 4, MÃ¤nner: Fr. 4Â806.--/Monat) sowie unter BerÃ¼cksichtigung eines leidensbedingten Abzugs von 20 % ein hypothetisches Invalideneinkommen von Fr. 27Â501.--. Aus dem Vergleich dieser beiden Einkommen ergab sich eine Differenz entsprechend einem InvaliditÃ¤tsgrad von 62 %.</w:t>
      </w:r>
    </w:p>
    <w:p>
      <w:r>
        <w:t>3.4Â Â Â Â  Dr. D.___, Facharzt fÃ¼r Innere Medizin FMH, Hausarzt des BeschwerdefÃ¼hrers, fÃ¼hrte am 26. April 2012 aus (Urk. 10), er kenne und betreue den BeschwerdefÃ¼hrer regelmÃ¤ssig seit 2005. Ihm sei klar, dass die Gutachter des Z.___ die gesundheitliche Problematik des BeschwerdefÃ¼hrers in einer Momentaufnahme nicht ganz hÃ¤tten erfassen kÃ¶nnen. Gerade bei FrontalhirnstÃ¶rungen seien die Auswirkungen nur schwer erkennbar, wenn der Arzt den Patienten nicht Ã¼ber lÃ¤ngere Zeit, mehrmals und zu verschiedenen Tages- und Jahreszeiten kenne. Ein Problem dieser Patienten sei, dass sie sich selbst nicht genÃ¼gend gut einschÃ¤tzen kÃ¶nnten. Dies Ã¤ussere sich zum Beispiel in mangelnder KonfliktfÃ¤higkeit sowie in enthemmtem Verhalten. Im Zusammenleben und -arbeiten mit anderen Personen wÃ¼rden Konflikte immer wieder eskalieren. Dies sei auch beim BeschwerdefÃ¼hrer der Fall. So kÃ¶nne dieser kaum im Team arbeiten und es brauche grosses VerstÃ¤ndnis und Entgegenkommen seitens eines Arbeitgebers.</w:t>
      </w:r>
    </w:p>
    <w:p>
      <w:r>
        <w:rPr>
          <w:b/>
        </w:rPr>
        <w:t>E. 4</w:t>
      </w:r>
    </w:p>
    <w:p>
      <w:r>
        <w:t>4.1Â Â Â Â  Dass im hier zu prÃ¼fenden Zeitraum eine wesentliche VerÃ¤nderung des Gesundheitszustandes eingetreten wÃ¤re, brachte weder die Beschwerdegegnerin in ihrer VerfÃ¼gung vom 12. Januar 2012 vor, noch machte es der BeschwerdefÃ¼hrer geltend. Lediglich der Beschwerdeantwort vom 16. MÃ¤rz 2012 lÃ¤sst sich eine diesbezÃ¼gliche Andeutung entnehmen, soweit die Beschwerdegegnerin ausfÃ¼hrte, der BeschwerdefÃ¼hrer sei durchaus in der Lage gewesen, ein Arbeitspensum zu absolvieren, welches das ihm zugemutete Ã¼bertroffen habe. Dieser Umstand sei entsprechend zu wÃ¼rdigen, falls bei der Bemessung des InvaliditÃ¤tsgrades auf einen Tabellenlohn abzustellen sei. Belege dafÃ¼r, dass eine Verbesserung der gesundheitlichen VerhÃ¤ltnisse des BeschwerdefÃ¼hrers eingetreten wÃ¤ren sind jedoch keine aktenkundig, weshalb dieser Einwand der Beschwerdegegnerin nicht gehÃ¶rt werden kann.</w:t>
      </w:r>
    </w:p>
    <w:p>
      <w:r>
        <w:t>4.2Â Â Â Â  Nachstehend ist aber zu prÃ¼fen, ob sich in erwerblicher Hinsicht seit November 2009 (vgl. E. 2.3 hiervor) eine massgebende Ãnderung im Sinne von Art. 17 ATSG Â ergeben hat.</w:t>
      </w:r>
    </w:p>
    <w:p>
      <w:r>
        <w:t>Â Â Â Â Â Â Â Â  Die Beschwerdegegnerin ging in der angefochtenen VerfÃ¼gung davon aus, dass sich seitens des Invalideneinkommens insoweit eine Verbesserung ergeben habe, als der BeschwerdefÃ¼hrer seit dem 1. Juni 2010 durch UnterstÃ¼tzung des Projekts E.___ eine Arbeitsstelle als Hauswart bei der Stiftung F.___ innehabe. Im Rahmen dieser TÃ¤tigkeit erziele er mit einem Pensum von 60 % ein Einkommen von Fr. 46Â585.--. Unter BerÃ¼cksichtigung von Art. 31 IVG betrage das Invalideneinkommen somit Fr. 39Â288.--, woraus verglichen mit dem Valideneinkommen von Fr. 72Â859.-- (Jahr 2010) ein InvaliditÃ¤tsgrad von 46 % resultiere (Urk. 2, VerfÃ¼gungsteil 2 S. 2).</w:t>
      </w:r>
    </w:p>
    <w:p>
      <w:r>
        <w:t>4.3Â Â Â Â  Der Auffassung der Beschwerdegegnerin kann nicht beigepflichtet werden. Im Rahmen des Projekts E.___ konnte der BeschwerdefÃ¼hrer mit der Stiftung ZÃ¼rcher F.___ per 1. Juni 2010 einen Arbeitsvertrag fÃ¼r eine Anstellung als Hauswart mit einem Pensum von 70 % abschliessen (Urk. 7/151). Im Herbst 2011 wurde das Pensum von mittlerweile 80 % auf Wunsch der Arbeitgeberin auf 60 % reduziert (Urk. 7/207). Als Grund fÃ¼r die DurchfÃ¼hrung dieser Massnahme nannte sie die zunehmende Vergesslichkeit und MÃ¼digkeit des BeschwerdefÃ¼hrers, welche ihm die AusfÃ¼hrung der Hauswartung erschweren wÃ¼rde (Urk. 7/208). Im Dezember 2011 wurde dem BeschwerdefÃ¼hrer sodann das ArbeitsverhÃ¤ltnis per Ende MÃ¤rz 2012 gekÃ¼ndigt (Urk. 7/209).</w:t>
      </w:r>
    </w:p>
    <w:p>
      <w:r>
        <w:t>4.4Â Â Â Â  Somit war der BeschwerdefÃ¼hrer im Zeitpunkt des Erlasses der angefochtenen VerfÃ¼gung im Januar 2012 zwar noch als Hauswart angestellt, das ArbeitsverhÃ¤ltnis war jedoch bereits im Dezember 2011 gekÃ¼ndigt worden, nachdem im Herbst zuvor eine Reduktion des Pensums hatte erfolgen mÃ¼ssen (vgl. vorstehend E. 4.4). Den Akten kann entnommen werden, dass schon kurz nach Aufnahme der ArbeitstÃ¤tigkeit regelmÃ¤ssig Probleme zwischen dem BeschwerdefÃ¼hrer und der Heimleiterin auftauchten. GemÃ¤ss Dr. D.___ waren diese Konflikte aufgrund der VerhaltensauffÃ¤lligkeiten des BeschwerdefÃ¼hrers (FrontalhirnstÃ¶rung) unvermeidlich (vgl. vorstehend E. 3.4). So musste der Betreuer des BeschwerdefÃ¼hrers mehrfach schlichtend eingreifen (Urk. 7/163, Urk. 7/177), damit das ArbeitsverhÃ¤ltnis Ã¼berhaupt so lange aufrechterhalten werden konnte.</w:t>
      </w:r>
    </w:p>
    <w:p>
      <w:r>
        <w:t>4.5Â Â Â Â  Aufgrund dieses Verlaufs konnte nicht von von einem besonders stabilen ArbeitsverhÃ¤ltnis gesprochen und demnach auch nicht von einer fÃ¼r lÃ¤ngere Zeit dauernden VerÃ¤nderung ausgegangen werden. FÃ¼r die Berechnung des Invalideneinkommens kann somit nicht auf den - im Zeitpunkt des VerfÃ¼gungserlasses noch - tatsÃ¤chlich erzielten Lohn aus dieser vorÃ¼bergehenden und in speziellen VerhÃ¤ltnissen ausgeÃ¼bten BeschÃ¤ftigung abgestellt werden. Vielmehr ist auf ein durchschnittliches, dem Gesundheitszustand angepasstes Erwerbseinkommen abzustellen. Zu dessen Bestimmung sind somit wie bereits im Urteil des hiesigen Gerichts vom 27. Mai 2011 TabellenlÃ¶hne heranzuziehen, und eine Ãnderung der erwerblichen VerhÃ¤ltnisse ist nicht erstellt. Ob der von der Stiftung bezogene Lohn des BeschwerdefÃ¼hrers, wie von ihm geltend gemacht, auch eine Sozialkomponente einschloss, kann unter diesen UmstÃ¤nden offen gelassen werden.</w:t>
      </w:r>
    </w:p>
    <w:p>
      <w:r>
        <w:t>4.6Â Â Â Â  Demnach haben sich die tatsÃ¤chlichen VerhÃ¤ltnisse seit der letzten materiellen ÃberprÃ¼fung auch in erwerblicher Hinsicht nicht wesentlich verÃ¤ndert. Der BeschwerdefÃ¼hrer hat somit weiterhin Anspruch auf eine Dreiviertelsrente, weshalb die Beschwerde gutzuheissen ist.</w:t>
      </w:r>
    </w:p>
    <w:p>
      <w:r>
        <w:t>5.Â Â Â Â Â Â</w:t>
      </w:r>
    </w:p>
    <w:p>
      <w:r>
        <w:t>5.1Â Â Â Â  Da es um die Bewilligung oder Verweigerung von Versicherungsleistungen geht, ist das Verfahren kostenpflichtig. Die Gerichtskosten sind nach dem Verfahrensaufwand und unabhÃ¤ngig vom Streitwert festzulegen (Art. 69 Abs. 1 bis IVG) und auf Fr. 700.-- anzusetzen. Bei diesem Ausgang des Verfahrens sind sie der Beschwerdegegnerin aufzuerlegen.</w:t>
      </w:r>
    </w:p>
    <w:p>
      <w:r>
        <w:t>5.2Â Â Â Â  Dem anwaltlich vertretenen BeschwerdefÃ¼hrer steht eine ProzessentschÃ¤digung zu, die ermessensweise beim praxisgemÃ¤ssem Stundenansatz von Fr. 200.-- (zuzÃ¼glich Mehrwertsteuer) auf Fr. 3'100.-- (inklusive Barauslagen und Mehrwertsteuer) festzusetzen und von der Beschwerdegegnerin zu bezahlen ist.</w:t>
      </w:r>
    </w:p>
    <w:p>
      <w:r>
        <w:t>Das Gericht erkennt:</w:t>
      </w:r>
    </w:p>
    <w:p>
      <w:r>
        <w:t>1.Â Â Â Â Â Â Â Â  In Gutheissung der Beschwerde wird die angefochtene VerfÃ¼gung der Sozialversicherungsanstalt des Kantons ZÃ¼rich, IV-Stelle, vom 12. Januar 2012 aufgehoben, und es wird festgestellt, dass der BeschwerdefÃ¼hrer weiterhin Anspruch auf eine Dreiviertelsrente hat.</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3'100.-- (inkl. Barauslagen und MWSt) zu bezahlen.</w:t>
      </w:r>
    </w:p>
    <w:p>
      <w:r>
        <w:t>4.Â Â Â Â Â Â Â Â  Zustellung gegen Empfangsschein an:</w:t>
      </w:r>
    </w:p>
    <w:p>
      <w:r>
        <w:t>- Rechtsanwalt Kaspar Gehring</w:t>
      </w:r>
    </w:p>
    <w:p>
      <w:r>
        <w:t>- Bundesamt fÃ¼r Sozialversicherungen</w:t>
      </w:r>
    </w:p>
    <w:p>
      <w:r>
        <w:t>- Sozialversicherungsanstalt des Kantons ZÃ¼rich, IV-Stelle</w:t>
      </w:r>
    </w:p>
    <w:p>
      <w:r>
        <w:t>- Pensionskasse ISS Schweiz 8048 ZÃ¼rich</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