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IV.2012.00055 vom 27. März 2013</w:t>
      </w:r>
    </w:p>
    <w:p>
      <w:r>
        <w:t>ZH Sozialversicherungsgericht, 2013-03-27, DE</w:t>
      </w:r>
    </w:p>
    <w:p>
      <w:r>
        <w:rPr>
          <w:b/>
        </w:rPr>
        <w:t xml:space="preserve">Quelle: </w:t>
      </w:r>
      <w:r>
        <w:t>https://mcp.opencaselaw.ch/entscheid/zh_sozialversicherungsgericht_IV.2012.00055</w:t>
      </w:r>
    </w:p>
    <w:p>
      <w:r>
        <w:t>FR: ZH_SOZIALVERSICHERUNGSGERICHT IV.2012.00055 du 27 mars 2013</w:t>
      </w:r>
    </w:p>
    <w:p>
      <w:r>
        <w:t>IT: ZH_SOZIALVERSICHERUNGSGERICHT IV.2012.00055 del 27 marzo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In medizinischer Hinsicht begrÃ¼ndete die Beschwerdegegnerin die angefochtene VerfÃ¼gung damit, dass gestÃ¼tzt auf das A.___-Gutachten vom 7. April 2011 in psychischer Hinsicht von einer Verbesserung der gesundheitlichen Situation ausgegangen werden kÃ¶nne. In einer leidensangepassten TÃ¤tigkeit bestehe nunmehr eine 100%ige ArbeitsfÃ¤higkeit. Aus somatischer Sicht sei nach dem zweiten operativen Eingriff am 16. Dezember 2010 von einer vollstÃ¤ndigen ArbeitsunfÃ¤higkeit bis Juli 2011 auszugehen. Danach kÃ¶nne mit Ã¼berwiegender Wahrscheinlichkeit in einer leichten, wechselbelastenden und rÃ¼ckenschonenden TÃ¤tigkeit von einer vollstÃ¤ndigen ArbeitsfÃ¤higkeit ausgegangen werden. Bei einem leidensbedingten Abzug von 20 % ergebe sich im erwerblichen Bereich eine EinschrÃ¤nkung von 25 %, was zu einer TeilinvaliditÃ¤t von 20 % fÃ¼hre. Im Bereich Haushalt sei von einer maximalen EinschrÃ¤nkung von 25 % auszugehen, da diese erfahrungsgemÃ¤ss geringer sei als im erwerblichen Bereich, was zu einer TeilinvaliditÃ¤t von 5 % fÃ¼hre und einen InvaliditÃ¤tsgrad von 25 % zur Folge habe (Urk. 2).</w:t>
      </w:r>
    </w:p>
    <w:p>
      <w:r>
        <w:t>2.2Â Â Â Â  DemgegenÃ¼ber machte der Vertreter der BeschwerdefÃ¼hrerin im Wesentlichen geltend, dass sich der gesundheitliche Zustand aus psychiatrischer Sicht - verglichen mit dem Zeitpunkt der Begutachtung durch Dr. Z.___ - nicht geÃ¤ndert habe. So werde etwa festgehalten, dass alle therapeutischen BemÃ¼hungen gescheitert seien, was eine Verbesserung der Situation ausschliesse. Insgesamt sei diesbezÃ¼glich von einer anderen Beurteilung eines im Wesentlichen unverÃ¤nderten Sachverhalts auszugehen. In somatischer Hinsicht lege die Beschwerdegegnerin nicht dar, inwiefern sich die BeschwerdefÃ¼hrerin per Juli 2011 erholt haben soll. Der Hinweis auf den ÂerfahrungsgemÃ¤ssenÂ Verlauf erfÃ¼lle die Anforderungen an den Beweisgrad der Ã¼berwiegenden Wahrscheinlichkeit nicht. Zudem gehe der Operateur gemÃ¤ss telefonischer Auskunft weiterhin von einer vollstÃ¤ndigen ArbeitsunfÃ¤higkeit aus, was belege, dass sich die prognostizierte Erholung eben nicht eingestellt habe (Urk. 1).</w:t>
      </w:r>
    </w:p>
    <w:p>
      <w:r>
        <w:t>2.3Â Â Â Â  Vergleichsbasis im vorliegenden Revisionsverfahren bildet die VerfÃ¼gung vom 22. Februar 2007, welche sich in medizinischer Hinsicht im Wesentlichen auf das psychiatrische Gutachten von Dr. Z.___ stÃ¼tzt (Urk. 7/30). Dieser diagnostizierte dannzumal eine reaktive depressive Entwicklung, gegenwÃ¤rtig mittelgradige depressive Episode (ICD-10 F32.1) sowie eine somatoforme Schmerzkomponente im Sinne einer anhaltenden somatoformen SchmerzstÃ¶rung (ICD-10 F45.4). Rein aufgrund der depressiven Symptomatik wÃ¤re medizinisch-theoretisch eine 50%ige, den Schmerzen adaptierte TÃ¤tigkeit zumutbar. Aufgrund der anhaltenden somatoformen SchmerzstÃ¶rung lasse sich diese RestarbeitsfÃ¤higkeit jedoch aktuell in der freien Wirtschaft nicht umsetzen. Die EinschrÃ¤nkung der ArbeitsfÃ¤higkeit im Haushalt betrage 50 % (Urk. 7/30 S. 8 ff.). Bei dieser Ausgangslage ging die Beschwerdegegnerin im erwerblichen Bereich von einer EinschrÃ¤nkung von 100 % aus, was bei entsprechender Gewichtung (Erwerb: 80 %, Haushalt: 20 %) zu einer InvaliditÃ¤t von 80 % fÃ¼hrte und weitere AbklÃ¤rungen unnÃ¶tig machte.</w:t>
      </w:r>
    </w:p>
    <w:p>
      <w:r>
        <w:rPr>
          <w:b/>
        </w:rPr>
        <w:t>E. 3</w:t>
      </w:r>
    </w:p>
    <w:p>
      <w:r>
        <w:t>3.1Â Â Â Â  Die fÃ¼r das A.___-Gutachten vom 7. April 2011 verantwortlichen FachÃ¤rzte diagnostizierten mit Einfluss auf die ArbeitsfÃ¤higkeit ein chronisches lumbospondylogenes Schmerzsyndrom links (ICD-10 M54.5) bei Status nach interlaminÃ¤rer Fensterung L5/S1 links mit Dekompression der Nervenwurzel L5 und S1 links sowie Neurolyse am 26. Oktober 2005, Status nach Rediskektomie L5/S1 links am 16. Dezember 2010, klinisch keine Hinweise fÃ¼r radikulÃ¤re Symptomatik, kernspintomographisch am 13. Januar 2011 regelrechter postoperativer Befund ohne Nachweis einer Rezidivhernie. Ohne Einfluss auf die ArbeitsfÃ¤higkeit leide die BeschwerdefÃ¼hrerin an einer anhaltenden somatoformen SchmerzstÃ¶rung (ICD-10 F45.4) sowie an einem chronischen zervikospondylogenen Schmerz- syndrom (ICD-10 M53.1) bei Dysbalancen der SchultergÃ¼rtelmuskulatur (klinisch keine Hinweise fÃ¼r radikulÃ¤re Symptomatik, kernspintomographisch Dezember 2008 kein Nachweis einer Diskushernie).</w:t>
      </w:r>
    </w:p>
    <w:p>
      <w:r>
        <w:t>Â Â Â Â Â Â Â Â  Aus polydisziplinÃ¤rer Sicht sei fÃ¼r leichte bis gelegentlich mittelschwere, wechselbelastende TÃ¤tigkeiten von einer 100%igen Arbeits- und LeistungsfÃ¤higkeit auszugehen. Bei weiterhin komplikationslosem postoperativem Verlauf gelte diese EinschÃ¤tzung aus somatischer Sicht voraussichtlich ab Juli 2011; bis dahin sei aufgrund der Bandscheibenoperation von einer 100%igen ArbeitsunfÃ¤higkeit auszugehen. Im Bereich Haushalt sei von einer EinschrÃ¤nkung von 20 % auszugehen (Urk. 7/99 S. 19 ff.).</w:t>
      </w:r>
    </w:p>
    <w:p>
      <w:r>
        <w:t>3.2Â Â Â Â  Aus somatischer Sicht ist festzuhalten, dass sich die BeschwerdefÃ¼hrerin am 16. Dezember 2010 einer zweiten Bandscheibenoperation unterziehen musste und im Zeitpunkt des A.___-Gutachtens in der Rehabilitationsphase stand. Die fÃ¼r das A.___-Gutachten vom 7. April 2011 verantwortlichen FachÃ¤rzte schÃ¤tzten die ArbeitsfÃ¤higkeit denn auch prognostisch ein (voraussichtlich vollstÃ¤ndige ArbeitsfÃ¤higkeit ab Juli 2011). Eine solche prognostische EinschÃ¤tzung erfÃ¼llt die beweisrechtlichen Anforderungen an ein medizinisches Gutachten aber nicht. So kann nicht auf eine ÂerfahrungsgemÃ¤sseÂ postoperative Entwicklung abgestellt werden; vielmehr ist der konkrete Einzelfall massgebend, welcher im Rahmen einer echtzeitlichen Untersuchung abzuklÃ¤ren ist, wobei etwa auch die geklagten Beschwerden zu berÃ¼cksichtigen sind. Vor diesem Hintergrund drÃ¤ngt sich eine Verlaufsuntersuchung beim A.___ in somatischer Hinsicht auf, wobei die ArbeitsfÃ¤higkeit ab Juli 2011 anhand der effektiven postoperativen Entwicklung festzulegen ist. Dabei erscheint es unumgÃ¤nglich, vorgÃ¤ngig aktuelle Berichte der behandelnden Ãrzte einzuholen, welche die Gutachter des A.___ in der Folge im Rahmen ihrer EinschÃ¤tzung zu berÃ¼cksichtigen und zu wÃ¼rdigen haben. Eine abschliessende EinschÃ¤tzung des medizinischen Sachverhalts sowie des A.___-Gutachtens als Ganzes kann dabei erst nach Vorliegen der Ergebnisse der Verlaufsuntersuchung erfolgen.</w:t>
      </w:r>
    </w:p>
    <w:p>
      <w:r>
        <w:t>Â Â Â Â Â Â Â Â  Zusammenfassend fÃ¼hrt dies zur RÃ¼ckweisung der Sache an die Beschwerdegegnerin zur weiteren AbklÃ¤rung im Sinne der ErwÃ¤gungen. Da vorliegend eine Verlaufsuntersuchung - und damit allein die ErgÃ¤nzung eines polydisziplinÃ¤ren Gutachtens - anzuordnen ist, erscheint die RÃ¼ckweisung auch unter BerÃ¼cksichtigung der neueren Rechtsprechung des Bundesgerichts mÃ¶glich und im konkreten Fall sinnvoll (vgl. BGE 137 V 210).</w:t>
      </w:r>
    </w:p>
    <w:p>
      <w:r>
        <w:t>4.Â Â Â Â Â Â  Da es im vorliegenden Verfahren um die Bewilligung oder Verweigerung von IV-Leistungen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Â Â Â Â Â Â Â Â  Die RÃ¼ckweisung einer Sache kommt einem Obsiegen der BeschwerdefÃ¼hrerin gleich. AusgangsgemÃ¤ss ist die Beschwerdegegnerin demnach zu verpflichten, der BeschwerdefÃ¼hrerin eine angemessene ProzessentschÃ¤digung zu bezahlen, welche in Anwendung von Art. 61 lit. g ATSG in Verbindung mit Â§ 34 GSVGer, namentlich unter BerÃ¼cksichtigung der Bedeutung der Streitsache und der Schwierigkeit des Prozesses auf Fr. 1'900.-- (inklusive Barauslagen und Mehrwertsteuer) festzusetzen ist.</w:t>
      </w:r>
    </w:p>
    <w:p>
      <w:r>
        <w:t>Das Gericht erkennt:</w:t>
      </w:r>
    </w:p>
    <w:p>
      <w:r>
        <w:t>1.Â Â Â Â Â Â Â Â  Die Beschwerde wird in dem Sinne gutgeheissen, dass die angefochtene VerfÃ¼gung vom 1. Dezember 2011 aufgehoben und die Sache an die SVA,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(inklusive Barauslagen und Mehrwertsteuer) zu bezahlen.</w:t>
      </w:r>
    </w:p>
    <w:p>
      <w:r>
        <w:t>4.Â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