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IV.2011.01339 vom 21. Dezember 2012</w:t>
      </w:r>
    </w:p>
    <w:p>
      <w:r>
        <w:t>ZH Sozialversicherungsgericht, 2012-12-21, DE</w:t>
      </w:r>
    </w:p>
    <w:p>
      <w:r>
        <w:rPr>
          <w:b/>
        </w:rPr>
        <w:t xml:space="preserve">Quelle: </w:t>
      </w:r>
      <w:r>
        <w:t>https://mcp.opencaselaw.ch/entscheid/zh_sozialversicherungsgericht_IV.2011.01339</w:t>
      </w:r>
    </w:p>
    <w:p>
      <w:r>
        <w:t>FR: ZH_SOZIALVERSICHERUNGSGERICHT IV.2011.01339 du 21 décembre 2012</w:t>
      </w:r>
    </w:p>
    <w:p>
      <w:r>
        <w:t>IT: ZH_SOZIALVERSICHERUNGSGERICHT IV.2011.01339 del 21 dicembre 2012</w:t>
      </w:r>
    </w:p>
    <w:p>
      <w:pPr>
        <w:pStyle w:val="Heading2"/>
      </w:pPr>
      <w:r>
        <w:t>Erwägungen</w:t>
      </w:r>
    </w:p>
    <w:p>
      <w:r>
        <w:rPr>
          <w:b/>
        </w:rPr>
        <w:t>E. 1</w:t>
      </w:r>
    </w:p>
    <w:p>
      <w:r>
        <w:t>1.1Â Â Â Â  GemÃ¤ss Art. 22 Abs. 1 des Bundesgesetzes Ã¼ber die Invalidenversicherung (IVG) hat eine versicherte Person wÃ¤hrend der DurchfÃ¼hrung von Eingliederungsmassnahmen nach Art. 8 Abs. 3 IVG Anspruch auf ein Taggeld, wenn sie wenigstens an drei aufeinander folgenden Tagen wegen den Massnahmen verhindert ist, einer Arbeit nachzugehen, oder in ihrer gewohnten TÃ¤tigkeit zu mindestens 50 % arbeitsunfÃ¤hig (Art. 6 ATSG) ist.</w:t>
      </w:r>
    </w:p>
    <w:p>
      <w:r>
        <w:t>1.2Â Â Â Â  Art. 22 Abs. 6 IVG sieht in Verbindung mit Art. 18 Abs. 2 der Verordnung Ã¼ber die Invalidenversicherung (IVV) vor, dass der Anspruch auf Taggeld fÃ¼r Wartezeiten im Zeitpunkt entsteht, in welchem die IV-Stelle feststellt, dass eine erstmalige berufliche Ausbildung oder eine Umschulung angezeigt ist.</w:t>
      </w:r>
    </w:p>
    <w:p>
      <w:r>
        <w:t>2.Â Â Â Â Â Â</w:t>
      </w:r>
    </w:p>
    <w:p>
      <w:r>
        <w:t>2.1Â Â Â Â  Die IV-Stelle stellte sich im Wesentlichen auf den Standpunkt, die im Rahmen der beruflichen AbklÃ¤rung diskutierten Umschulungsmassnahmen seien mit der telefonischen Mitteilung des BeschwerdefÃ¼hrers vom 16. November 2011, dass er eine entsprechende Ausbildung absolvieren mÃ¶chte, und mit der schriftlich bestÃ¤tigten Zielvereinbarung vom 25. November 2011 soweit konkretisiert worden, dass von einem Warten auf die am 27. Februar 2012 bevorstehende Umschulungsmassnahmen an der Z.___ gesprochen werden kÃ¶nne. Der durch den IV-Berufsberater bereits ab 10. November 2011 festgehaltene Anspruch auf Taggelder sei daher nicht zu beanstanden. Keine durch die Invalidenversicherung angeordnete eingliederungswirksame Massnahme im Sinne von Art. 8 IVG stelle sodann das Absolvieren eines Englischkurses dar, weshalb hierzu auch keine akzessorischen Taggeldleistungen erbracht werden kÃ¶nnten (Urk. 5 S. 2).</w:t>
      </w:r>
    </w:p>
    <w:p>
      <w:r>
        <w:t>2.2Â Â Â Â  Dagegen wird seitens des BeschwerdefÃ¼hrers zusammengefasst vorgebracht, ab 28. Mai 2011 habe er keine Arbeitslosengelder mehr bezogen. Sodann habe er zu diesem Zeitpunkt durch den Besuch eines Englischkurses selbstÃ¤ndig die erste Integrationsmassnahme in den Arbeitsmarkt eingeleitet (Urk. 1). Aufgrund seiner bisherigen TÃ¤tigkeit habe es ihm an Fremdsprachenkenntnissen gefehlt. Ohne den zuvor absolvierten Fremdsprachenkurs wÃ¤re er mit der Umschulung Ã¼berfordert gewesen. An sich wÃ¤re es angezeigt gewesen, den Sprachkurs als Teil der Umschulung zu qualifizieren. Das Angebot seitens der IV-Berufsberatung, ihn im Zusammenhang mit dem Sprachkurs zu unterstÃ¼tzen, habe er aber seinerzeit dummerweise abgelehnt. Seine invaliditÃ¤tsbedingte Erwerbseinbusse sei im Ãbrigen hÃ¶her als von der Beschwerdegegnerin festgestellt worden sei. Diese habe bei der Berechnung die BeeintrÃ¤chtigung durch das Leiden an den HÃ¤nden nicht berÃ¼cksichtigt (Urk. 9 S. 1-2).</w:t>
      </w:r>
    </w:p>
    <w:p>
      <w:r>
        <w:t>3.Â Â Â Â Â Â</w:t>
      </w:r>
    </w:p>
    <w:p>
      <w:r>
        <w:t>3.1Â Â Â Â  Die Beschwerdegegnerin hat die Sach- und Rechtslage in Bezug auf den strittigen Wartetaggeldanspruch ab 28. Mai bis 9. November 2011 ausfÃ¼hrlich dargelegt (Urk. 5 S. 2 Ziff. 3-4). Diesen zutreffenden AusfÃ¼hrungen ist beizupflichten. Hervorzuheben ist auch hier, dass ein Taggeld gemÃ¤ss Art. 18 Abs. 1 IVV nur fÃ¼r die Wartezeiten hinsichtlich einer effektiv gewÃ¤hrten Umschulung in Frage kommt. Steht eine solche (noch) nicht fest, fÃ¤llt ein Taggeldanspruch ausser Betracht. GemÃ¤ss Verlaufsprotokoll der Berufsberatung fand am 18. Oktober 2011 das ErstgesprÃ¤ch mit dem IV-Berufsberater statt. Im Verlauf dieses GesprÃ¤chs wurde auch die MÃ¶glichkeit einer Umschulung angesprochen (Urk. 6/39/3 f. Ziff. 2 f.). Am 16. November 2011 erklÃ¤rte der Versicherte dann telefonisch, er wolle die Umschulung an der Handelsschule, die zwischenzeitlich durch den Berufsberater als geeignete Massnahme evaluiert worden war, konkret antreten (Urk. 6/39/4 Ziff. 4). Am 23. November 2011 sodann stand die GewÃ¤hrung der Umschulungsmassnahme fest (Urk. 6/39/1 f.). Vor diesem Hintergrund ist die Zusprechung des Wartetaggeldes ab 10. November 2011 nicht zu beanstanden. Die vom BeschwerdefÃ¼hrer behauptete hÃ¶here Erwerbseinbusse Ã¤ndert daran nichts. Die HÃ¶he der invaliditÃ¤tsbedingten Erwerbseinbusse ist entscheidend fÃ¼r die Beurteilung der Frage, ob Anspruch auf eine Umschulung besteht. FÃ¼r die Frage der HÃ¶he oder Dauer des Taggeldes ist der Umstand jedoch nicht entscheidend.</w:t>
      </w:r>
    </w:p>
    <w:p>
      <w:r>
        <w:t>3.2Â Â Â Â  Eine andere Frage ist, ob der fragliche Sprachkurs, fÃ¼r dessen Absolvierung im Ãbrigen kein Nachweis vorliegt, gegebenenfalls als Teil der Umschulung betrachtet und somit ein Taggeldanspruch gestÃ¼tzt auf Art. 22 Abs. 1 IVG bejaht werden kÃ¶nnte. Der BeschwerdefÃ¼hrer hat den Sprachkurs auf eigene Initiative absolviert. Eine entsprechende Anordnung durch die Beschwerdegegnerin erfolgte nicht. Eine berufliche Massnahme, die Anspruch auf ein Taggeld (fÃ¼r die Dauer der Massnahme) gÃ¤be, liegt demnach nicht vor. Ob der Sprachkurs eine wichtige Voraussetzung fÃ¼r die spÃ¤tere Umschulung gewesen ist, wovon der BeschwerdefÃ¼hrer ausgeht, braucht vorliegend nicht geklÃ¤rt zu werden. Gegenstand der angefochtenen VerfÃ¼gung und somit auch dieses Beschwerdeverfahrens ist ausschliesslich der Wartetaggeldanspruch. Es ist dem BeschwerdefÃ¼hrer indessen unbenommen, bei der Beschwerdegegnerin ein entsprechendes Gesuch einzureichen. Allerdings ist zu beachten, dass er eigenen Angaben zufolge den Vorschlag des Berufsberaters der Beschwerdegegnerin, einen Sprachkurs zur Vorbereitung der Umschulung zu absolvieren, seinerzeit abgelehnt hatte.</w:t>
      </w:r>
    </w:p>
    <w:p>
      <w:r>
        <w:t>3.3Â Â Â Â  Zusammenfassend ergibt sich, dass der Entscheid der Beschwerdegegnerin, die dem BeschwerdefÃ¼hrer das Wartetaggeld ab dem 10. November 2011 gewÃ¤hrte, nicht zu beanstanden ist. Die dagegen erhobene Beschwerde ist demzufolge abzuweisen.</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400.-- anzusetzen. Entsprechend dem Ausgang des Verfahrens sind sie dem BeschwerdefÃ¼hrer aufzuerlegen.</w:t>
      </w:r>
    </w:p>
    <w:p>
      <w:r>
        <w:t>Das Gericht erkennt:</w:t>
      </w:r>
    </w:p>
    <w:p>
      <w:r>
        <w:t>1.Â Â Â Â Â Â Â Â  Die Beschwerde wird abgewiesen.</w:t>
      </w:r>
    </w:p>
    <w:p>
      <w:r>
        <w:t>2.Â Â Â Â Â Â Â Â  Die Gerichtskosten von Fr. 400.--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die Gerichtskasse (im Dispositiv nach Eintritt der Rechtskraft)</w:t>
      </w:r>
    </w:p>
    <w:p>
      <w:r>
        <w:t>2.Â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