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IV.2011.01314 vom 28. Februar 2013</w:t>
      </w:r>
    </w:p>
    <w:p>
      <w:r>
        <w:t>ZH Sozialversicherungsgericht, 2013-02-28, DE</w:t>
      </w:r>
    </w:p>
    <w:p>
      <w:r>
        <w:rPr>
          <w:b/>
        </w:rPr>
        <w:t xml:space="preserve">Quelle: </w:t>
      </w:r>
      <w:r>
        <w:t>https://mcp.opencaselaw.ch/entscheid/zh_sozialversicherungsgericht_IV.2011.01314</w:t>
      </w:r>
    </w:p>
    <w:p>
      <w:r>
        <w:t>FR: ZH_SOZIALVERSICHERUNGSGERICHT IV.2011.01314 du 28 février 2013</w:t>
      </w:r>
    </w:p>
    <w:p>
      <w:r>
        <w:t>IT: ZH_SOZIALVERSICHERUNGSGERICHT IV.2011.01314 del 28 febbraio 2013</w:t>
      </w:r>
    </w:p>
    <w:p>
      <w:pPr>
        <w:pStyle w:val="Heading2"/>
      </w:pPr>
      <w:r>
        <w:t>Erwägungen</w:t>
      </w:r>
    </w:p>
    <w:p>
      <w:r>
        <w:rPr>
          <w:b/>
        </w:rPr>
        <w:t>E. 1</w:t>
      </w:r>
    </w:p>
    <w:p>
      <w:r>
        <w:t>1.1Â Â Â Â  Nach Art. 49 Abs. 4 des Bundesgesetzes Ã¼ber den Allgemeinen Teil des Sozialversicherungsrechts (ATSG) und Art. 76 der Verordnung Ã¼ber die Invalidenversicherung (IVV) ist eine VerfÃ¼gung eines VersicherungstrÃ¤gers, welche die Leistungspflicht eines anderen TrÃ¤gers berÃ¼hrt, auch diesem zu erÃ¶ffnen. Dies ist gegenÃ¼ber der AXA Stiftung BV in Bezug auf die VerfÃ¼gung vom 3. November 2011 nicht geschehen. Die AXA Stiftung BV ist auch nicht ins Vorbescheidverfahren einbezogen worden, aus welchem die VerfÃ¼gung resultierte.</w:t>
      </w:r>
    </w:p>
    <w:p>
      <w:r>
        <w:t>Â Â Â Â Â Â Â Â  Die Vorsorgeeinrichtungen sind im Bereich der gesetzlichen Mindestvorsorge an die Feststellungen der IV-Organe gebunden. Eine Bindungswirkung entfÃ¤llt, wenn die Vorsorgeeinrichtung nicht ins invalidenversicherungsrechtliche Verfahren einbezogen wird. Denn den Versicherern nach dem Bundesgesetz Ã¼ber die berufliche Alters-, Hinterlassenen- und Invalidenvorsorge (BVG) steht in diesem Verfahren ein selbstÃ¤ndiges Beschwerderecht zu. Deshalb ist die IV-Stelle verpflichtet, eine RentenverfÃ¼gung allen in Betracht fallenden Vorsorgeeinrichtungen von Amtes wegen zu erÃ¶ffnen. Unterbleibt ein solches Einbeziehen der Vorsorgeeinrichtung, ist die invalidenversicherungsrechtliche Festsetzung des InvaliditÃ¤tsgrades berufsvorsorgerechtlich nicht verbindlich. HÃ¤lt sich die Vorsorgeeinrichtung demgegenÃ¼ber im Rahmen des VerfÃ¼gten, kommt ohne Weiterungen die vom Gesetzgeber gewollte, in den Art. 23 ff. BVG zum Ausdruck gebrachte Verbindlichkeitswirkung des Entscheids der Invalidenversicherung zum Zuge. Stellt die Vorsorgeeinrichtung auf die invalidenversicherungsrechtliche Betrachtungsweise ab, muss sich die versicherte Person dies entgegenhalten lassen, soweit diese fÃ¼r die Festlegung des Anspruchs auf eine Rente entscheidend war, und zwar ungeachtet dessen, ob die Vorsorgeeinrichtung im invalidenversicherungsrechtlichen Verfahren beteiligt war oder nicht; vorbehalten bleibt in jedem Fall die offensichtliche Unhaltbarkeit der InvaliditÃ¤tsbemessung durch die IV-Stelle (Urteil des Bundesgerichtes 9C_8/2009 vom 30. MÃ¤rz 2009 E. 3.2 mit Hinweisen).</w:t>
      </w:r>
    </w:p>
    <w:p>
      <w:r>
        <w:t>2.Â Â Â Â Â Â  GestÃ¼tzt auf die erwÃ¤hnte Rechtsprechung hat die AXA Stiftung BV um gerichtliche Feststellung ersucht, dass die VerfÃ¼gung fÃ¼r sie unverbindlich sei. Die VerfÃ¼gung, mit welcher die IV-Stelle dem Versicherten neu eine Rente zugesprochen hatte, bedeutete aus Sicht der AXA Stiftung BV im Vergleich zum Vorbescheid eine Verschlechterung. Damit kann nicht ohne Folgen bleiben, dass sie im Vorbescheidverfahren inklusive ErÃ¶ffnung der VerfÃ¼gung Ã¼bergangen worden war. Dies fÃ¼hrt jedoch nicht zur Feststellung, dass die AXA Stiftung BV an die VerfÃ¼gung der IV-Stelle vom 3. November 2011 nicht gebunden ist. ZunÃ¤chst ist fraglich, ob das Gericht im invalidenversicherungsrechtlichen Verfahren Ã¼berhaupt befugt wÃ¤re, eine solche Feststellung zu treffen, oder ob nicht im Klageverfahren gemÃ¤ss Art. 73 BVG Ã¼ber die Bindung des Vorsorgeversicherers befunden werden mÃ¼sste. Dies kann jedoch offen bleiben. Denn die VerfÃ¼gung, welche die AXA Stiftung BV nun aus ihrer Sicht belastet, ist noch nicht rechtskrÃ¤ftig geworden, sondern steht weiterhin - nunmehr im vorliegenden Verfahren - im Streit. Angesichts dieses Verfahrensstandes ist das VersÃ¤umnis der IV-Stelle zu korrigieren, indem die Vorsorgeeinrichtung wegen der verbindlichen Wirkung des invalidenversicherungsrechtlichen Entscheides nachtrÃ¤glich vollstÃ¤ndig in das zu wiederholende Vorbescheidverfahren einzubeziehen ist (BGE 138 V 125 E. 3.3 mit Hinweisen).</w:t>
      </w:r>
    </w:p>
    <w:p>
      <w:r>
        <w:t>2.3Â Â Â Â  Nachdem der BeschwerdefÃ¼hrer ausdrÃ¼cklich seinen Verzicht auf den RÃ¼ckzug der Beschwerde erklÃ¤rt hat, ist die VerfÃ¼gung der IV-Stelle vom 3. November 2011 aufzuheben und die Sache an die IV-Stelle zurÃ¼ckzuweisen, damit diese das Vorbescheidverfahren nochmals unter Einbezug der AXA Stiftung BV durchfÃ¼hren kann.</w:t>
      </w:r>
    </w:p>
    <w:p>
      <w:r>
        <w:rPr>
          <w:b/>
        </w:rPr>
        <w:t>E. 3</w:t>
      </w:r>
    </w:p>
    <w:p>
      <w:r>
        <w:t>3.1Â Â Â Â  GemÃ¤ss Art. 69 Abs. 1 bis IVG ist das Beschwerdeverfahren bei Streitigkeiten um die Bewilligung oder die Verweigerung von IV-Leistungen kostenpflichtig. Die Kosten werden nach dem Verfahrensaufwand und unabhÃ¤ngig vom Streitwert im Rahmen von Fr. 200.-- bis Fr. 1'000.-- festgelegt. Die Kosten sind ermessensweise auf Fr. 500.-- festzusetzen und ausgangsgemÃ¤ss der Beschwerdegegnerin aufzuerlegen.</w:t>
      </w:r>
    </w:p>
    <w:p>
      <w:r>
        <w:t>3.2Â Â Â Â  Nach stÃ¤ndiger Rechtsprechung gilt die RÃ¼ckweisung der Sache an die Verwaltung zur weiteren AbklÃ¤rung und neuen VerfÃ¼gung als vollstÃ¤ndiges Obsiegen (vgl. Urteil des Eidg. Versicherungsgerichts U 199/02 vom 10. Februar 2004, E. 6 mit Hinweis auf BGE 110 V 57 E. 3a; SVR 1999 IV Nr. 10 S. 28 E. 3), weshalb der vertretene BeschwerdefÃ¼hrer Anspruch auf eine ProzessentschÃ¤digung hat. Diese ist unter BerÃ¼cksichtigung der Bedeutung der Streitsache und der Schwierigkeit des Prozesses (Â§ 34 des Gesetzes Ã¼ber das Sozial-versicherungsgericht; GSVGer) und beim massgeblichen Stundenansatz von Fr. 200.-- (zuzÃ¼glich Mehrwertsteuer) auf Fr. 2Â600.-- (inkl. Barauslagen und Mehrwertsteuer) festzulegen.</w:t>
      </w:r>
    </w:p>
    <w:p>
      <w:r>
        <w:t>Das Gericht erkennt:</w:t>
      </w:r>
    </w:p>
    <w:p>
      <w:r>
        <w:t>1.Â Â Â Â Â Â Â Â  Die Beschwerde wird in dem Sinne gutgeheissen, dass die angefochtene VerfÃ¼gung vom 3. November 2011 aufgehoben und die Sache an die Sozialversicherungsanstalt des Kantons ZÃ¼rich, IV-Stelle, zurÃ¼ckgewiesen wird, damit diese, nach korrekter DurchfÃ¼hrung des Vorbescheidverfahrens unter Einbezug der AXA Stiftung BV, Ã¼ber das Leistungsbegehrens des BeschwerdefÃ¼hrers erneut verfÃ¼ge.</w:t>
      </w:r>
    </w:p>
    <w:p>
      <w:r>
        <w:t>2.Â Â Â Â Â Â Â Â  Die Gerichtskosten von Fr. 500.--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2Â600.-- (inkl. Barauslagen und MWSt) zu bezahlen.</w:t>
      </w:r>
    </w:p>
    <w:p>
      <w:r>
        <w:t>4.Â Â Â Â Â Â Â Â  Zustellung gegen Empfangsschein an:</w:t>
      </w:r>
    </w:p>
    <w:p>
      <w:r>
        <w:t>- Rechtsanwalt Guy Reich</w:t>
      </w:r>
    </w:p>
    <w:p>
      <w:r>
        <w:t>- Sozialversicherungsanstalt des Kantons ZÃ¼rich, IV-Stelle, unter Beilage je einer Kopie von Urk. 33 bis 36</w:t>
      </w:r>
    </w:p>
    <w:p>
      <w:r>
        <w:t>- AXA Stiftung Berufliche Vorsorge, Winterthur, unter Beilage je einer Kopie von Urk. 33 bis 36</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