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IV.2011.01292 vom 18. Oktober 2012</w:t>
      </w:r>
    </w:p>
    <w:p>
      <w:r>
        <w:t>ZH Sozialversicherungsgericht, 2012-10-18, DE</w:t>
      </w:r>
    </w:p>
    <w:p>
      <w:r>
        <w:rPr>
          <w:b/>
        </w:rPr>
        <w:t xml:space="preserve">Quelle: </w:t>
      </w:r>
      <w:r>
        <w:t>https://mcp.opencaselaw.ch/entscheid/zh_sozialversicherungsgericht_IV.2011.01292</w:t>
      </w:r>
    </w:p>
    <w:p>
      <w:r>
        <w:t>FR: ZH_SOZIALVERSICHERUNGSGERICHT IV.2011.01292 du 18 octobre 2012</w:t>
      </w:r>
    </w:p>
    <w:p>
      <w:r>
        <w:t>IT: ZH_SOZIALVERSICHERUNGSGERICHT IV.2011.01292 del 18 ottobre 2012</w:t>
      </w:r>
    </w:p>
    <w:p>
      <w:pPr>
        <w:pStyle w:val="Heading2"/>
      </w:pPr>
      <w:r>
        <w:t>Erwägungen</w:t>
      </w:r>
    </w:p>
    <w:p>
      <w:r>
        <w:rPr>
          <w:b/>
        </w:rPr>
        <w:t>E. 1</w:t>
      </w:r>
    </w:p>
    <w:p>
      <w:r>
        <w:t>1.1Â Â Â Â  Die Verrechenbarkeit sich gegenÃ¼berstehender Forderungen stellt nach Lehre und Rechtsprechung einen allgemeinen Rechtsgrundsatz dar, der fÃ¼r das Zivilrecht in den Art. 120 ff. OR ausdrÃ¼cklich verankert ist, aber auch im Verwaltungsrecht zur Anwendung gelangt. Unter Vorbehalt verwaltungsrechtlicher Sonderbestimmungen kÃ¶nnen im Prinzip Forderungen und Gegenforderungen des BÃ¼rgers und des Gemeinwesens miteinander verrechnet werden. Der Verrechnungsgrundsatz gilt insbesondere auch im Bundessozialversicherungsrecht, und zwar selbst in jenen Zweigen, welche dies nicht ausdrÃ¼cklich vorsehen; allerdings kennen die meisten Gebiete der Sozialversicherung eine ausdrÃ¼ckliche Regelung (BGE 132 V 127 E. 6.1.1 mit Hinweisen).</w:t>
      </w:r>
    </w:p>
    <w:p>
      <w:r>
        <w:t>Â Â Â Â Â Â Â Â  Das ATSG (SR 830.1) enthÃ¤lt keine allgemeine Verrechnungsnorm (vgl. aber Art. 20 Abs. 2 ATSG). Art. 50 Abs. 2 IVG (in der seit 1. Januar 2003 in Kraft stehenden Fassung) verweist fÃ¼r die Verrechnung auf Art. 20 Abs. 2 AHVG, welche Bestimmung somit in der Invalidenversicherung sinngemÃ¤ss Anwendung findet. Daher statuiert Art. 50 Abs. 2 IVG eine allgemeine Verrechenbarkeit von Beitragsforderungen, Leistungen und LeistungsrÃ¼ckforderungen der AHV und der IV (ULRICH MEYER, Bundesgesetz Ã¼ber die Invalidenversicherung, 2. Aufl. 2010, S. 453). Die zweigintern und zweigÃ¼bergreifend zulÃ¤ssige Verrechnung von Leistungen und Forderungen kann sichÂ  sowohl auf laufende Renten als auch auf Rentennachzahlungen beziehen (BGE 136 V 286 E. 4.1 S. 288) Sie darf indessen den nach betreibungsrechtlichen Regeln zu ermittelnden Notbedarf der versicherten Person nicht beeintrÃ¤chtigen (BGE 136 V 286 E. 6.1 S. 291; 131 V 249 E. 1.2 S. 252).</w:t>
      </w:r>
    </w:p>
    <w:p>
      <w:r>
        <w:t>1.2Â Â Â Â  Ãber Leistungen, Forderungen und Anordnungen, die erheblich sind oder mit denen die betroffene Person nicht einverstanden ist, hat der VersicherungstrÃ¤ger schriftlich VerfÃ¼gungen zu erlassen. Die VerfÃ¼gungen werden mit einer Rechtsmittelbelehrung versehen. Sie sind zu begrÃ¼nden, wenn sie den Begehren der Parteien nicht voll entsprechen (Art. 49 Abs. 1 und 3 des Bundesgesetzes Ã¼ber den Allgemeinen Teil des Sozialversicherungsrechts; ATSG). Die BegrÃ¼ndungspflicht folgt aus dem Grundsatz des rechtlichen GehÃ¶rs (Kieser, ATSG-Kommentar, 2. Auflage, Rz. 37 zu Art. 49).</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2.Â Â Â Â Â Â  Vorliegend unbestritten ist das Bestehen einer Forderung aus Schadenersatz gemÃ¤ss Art. 52 AHVG, welche grundsÃ¤tzlich mit den Rentenleistungen verrechnet werden kann (Urk. 6/1 S. 4). Strittig und zu prÃ¼fen ist jedoch, inwieweit eine solche Verrechnung aufgrund des betreibungsrechtlichen Existenzminimums erfolgen darf. Der Vertreter des BeschwerdefÃ¼hrers ging dabei bei einem monatlichen Nettoeinkommen von Fr. 3Â486.95 von einem Existenzminimum von mindestens Fr. 4Â300.-- aus, wobei allerhÃ¶chstens eine Verrechnung im Betrag von Fr. 347.-- mÃ¶glich sei (Urk. 6/1 S. 5). DemgegenÃ¼ber liess die Beschwerdegegnerin ausfÃ¼hren, dass von einem Existenzminimum von Fr. 3Â153.-- auszugehen sei, was zu einem verrechenbaren Maximalbetrag von Fr. 1Â494.-- fÃ¼hre (Urk. 14 S. 3).</w:t>
      </w:r>
    </w:p>
    <w:p>
      <w:r>
        <w:t>3.Â Â Â Â Â Â</w:t>
      </w:r>
    </w:p>
    <w:p>
      <w:r>
        <w:t>3.1Â Â Â Â  In formeller Hinsicht ist festzustellen, dass die angefochtene VerfÃ¼gung vom 1. November 2011 hinsichtlich der Ermittlung des betreibungsrechtlichen Existenzminimums keine AusfÃ¼hrungen enthÃ¤lt. Eine solche Berechnung ist aber fÃ¼r die Frage des zulÃ¤ssigen Verrechnungsbetrages unerlÃ¤sslich. Infolge Verletzung der BegrÃ¼ndungspflicht bzw. des rechtlichen GehÃ¶rs ist allein schon deshalb die angefochtene VerfÃ¼gung aufzuheben und die Sache an die Beschwerdegegnerin zur korrekten DurchfÃ¼hrung des Verwaltungsverfahrens zurÃ¼ckzuweisen. Da bei der Bestimmung des betreibungsrechtlichen Existenzminimums immer auch ein gewisser Ermessensspielraum gegeben ist, stellt eine RÃ¼ckweisung keinen formalistischen Leerlauf dar.</w:t>
      </w:r>
    </w:p>
    <w:p>
      <w:r>
        <w:t>3.2Â Â Â Â  Ãberdies ist anzumerken, dass das Existenzminimum auch gestÃ¼tzt auf die AusfÃ¼hrungen in der Beschwerdeantwort vom 19. April 2012 noch nicht rechtsgenÃ¼glich feststeht. So wurden einige Positionen lediglich unter Vorbehalt des Nachweises Ã¼bernommen. Die Sachverhaltsermittlung muss aber spÃ¤testens im Zeitpunkt des Vorbescheides abgeschlossen sein, so dass einer beschwerdefÃ¼hrenden Partei eine konkrete Einsprache mÃ¶glich ist. Weiter ist anzumerken, dass die PrÃ¤mien fÃ¼r die Hausrat- und Haftpflichtversicherung gemÃ¤ss den Richtlinien fÃ¼r die Berechnung des betreibungsrechtlichen Existenzminimums des Obergerichts anzurechnen sind. Zudem stellen sich auch im Zusammenhang mit der Wohnung weitere Fragen. Der BeschwerdefÃ¼hrer wohnt offenbar bereits seit dem 1. Mai 2011 das heisst schon vor Erlass der angefochtenen VerfÃ¼gung in einer 2-Zimmer Wohnung in 8001 ZÃ¼rich und arbeitet bei der Z.___ AG in 8001 ZÃ¼rich (Urk. 15/14). Bei dieser Wohnsituation ist klar, dass seit dem Umzug des BeschwerdefÃ¼hrers von Adliswil nach ZÃ¼rich weder Reise- noch Verpflegungskosten anzurechnen sind. Wenn nun die Beschwerdegegnerin die anrechenbaren Wohnkosten auf Fr. 1Â300.-- senken will, so ist sie einerseits darauf hinzuweisen, dass gemÃ¤ss den Richtlinien des Obergerichts der effektive monatliche Mietzins zu berÃ¼cksichtigen ist, und anderseits dass der Wohnungsmarkt in der Stadt ZÃ¼rich nicht ausser Acht gelassen werden darf. So stellt wohl bereits der aktuelle Mietzins von Fr. 1Â800.- ein Freundschaftspreis dar; zumindest kann gesagt werden, dass an zentraler Lage eher keine Wohnung fÃ¼r Fr. 1Â300.-- zu finden sein wird. Insoweit die Ausgleichskasse diesbezÃ¼glich einfach den vom Betreibungsamt A.___ (ab 1. April 2011) in Adliswil ortsÃ¼blichen Mietzins anrechnet (Urk. 14 S. 3), kann ihr nicht gefolgt werden.</w:t>
      </w:r>
    </w:p>
    <w:p>
      <w:r>
        <w:t>Â  3.3Â Â  Zusammenfassend fÃ¼hrt dies zur Aufhebung der angefochtenen VerfÃ¼gung sowie zur RÃ¼ckweisung der Sache an die Vorinstanz.</w:t>
      </w:r>
    </w:p>
    <w:p>
      <w:r>
        <w:t>4.Â Â Â Â Â Â  Da im vorliegenden Verfahren nicht die Bewilligung oder Verweigerung von IV-Leistungen strittig ist, ist das Verfahren kostenlos (Art. 69 Abs. 1 bis IVG).</w:t>
      </w:r>
    </w:p>
    <w:p>
      <w:r>
        <w:t>Â Â Â Â Â Â Â Â  AusgangsgemÃ¤ss ist die Beschwerdegegnerin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1'900.-- (inklusive Barauslagen und Mehrwertsteuer) festzusetzen ist.</w:t>
      </w:r>
    </w:p>
    <w:p>
      <w:r>
        <w:t>Das Gericht erkennt:</w:t>
      </w:r>
    </w:p>
    <w:p>
      <w:r>
        <w:t>1.Â Â Â Â Â Â Â Â  Die Beschwerde wird in dem Sinne gutgeheissen, dass die angefochtene VerfÃ¼gung vom 1. November 2011 aufgehoben und die Sache an die SVA,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1Â900.-- (inklusive Barauslagen und Mehrwertsteuer) zu bezahlen.</w:t>
      </w:r>
    </w:p>
    <w:p>
      <w:r>
        <w:t>4.Â Â Â Â Â Â Â Â  Zustellung gegen Empfangsschein an:</w:t>
      </w:r>
    </w:p>
    <w:p>
      <w:r>
        <w:t>- Rechtsanwalt Felix Rutschmann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