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IV.2011.01229 vom 13. Juli 2012</w:t>
      </w:r>
    </w:p>
    <w:p>
      <w:r>
        <w:t>ZH Sozialversicherungsgericht, 2012-07-13, DE</w:t>
      </w:r>
    </w:p>
    <w:p>
      <w:r>
        <w:rPr>
          <w:b/>
        </w:rPr>
        <w:t xml:space="preserve">Quelle: </w:t>
      </w:r>
      <w:r>
        <w:t>https://mcp.opencaselaw.ch/entscheid/zh_sozialversicherungsgericht_IV.2011.01229</w:t>
      </w:r>
    </w:p>
    <w:p>
      <w:r>
        <w:t>FR: ZH_SOZIALVERSICHERUNGSGERICHT IV.2011.01229 du 13 juillet 2012</w:t>
      </w:r>
    </w:p>
    <w:p>
      <w:r>
        <w:t>IT: ZH_SOZIALVERSICHERUNGSGERICHT IV.2011.01229 del 13 luglio 2012</w:t>
      </w:r>
    </w:p>
    <w:p>
      <w:pPr>
        <w:pStyle w:val="Heading2"/>
      </w:pPr>
      <w:r>
        <w:t>Erwägungen</w:t>
      </w:r>
    </w:p>
    <w:p>
      <w:r>
        <w:rPr>
          <w:b/>
        </w:rPr>
        <w:t>E. 3</w:t>
      </w:r>
    </w:p>
    <w:p>
      <w:r>
        <w:t>3.1Â Â Â Â  Aus den vom Versicherten im Rahmen der GewÃ¤hrung des rechtlichen GehÃ¶rs (Urk. 9 und Urk. 14) eingereichten Unterlagen (Urk. 15/1-2, 15/4-9, 15/11) ergibt sich, dass er von Februar 2007 bis zum Zeitpunkt des Unfalls am 18. November 2009 in verschiedenen ArbeitsverhÃ¤ltnissen angestellt war, wobei er zwischen September 2008 und MÃ¤rz 2009 unfallbedingt (Urk. 14 S. 2 Ziff. 2.1 und Urk. 15/3) keiner ArbeitstÃ¤tigkeit nachgehen konnte. Die eingereichten Dokumente zeigen, dass der Versicherte nach immer neuen ArbeitsmÃ¶glichkeiten suchte und aufgrund verschiedener UmstÃ¤nde seine Stelle mehrmals wechseln musste. Es ist somit im Einklang mit der von der IV-Stelle getroffenen Annahme (Urk. 7/50 S. 1) von einer Vollzeitanstellung des Versicherten auszugehen.</w:t>
      </w:r>
    </w:p>
    <w:p>
      <w:r>
        <w:t>Â Â Â Â Â Â Â Â  Bei der PrÃ¼fung des Anspruchs auf berufliche Massnahmen berechnete die IV-Stelle aufgrund des Fehlens aussagekrÃ¤ftiger Lohnangaben im IK-Auszug (Urk. 7/17) das Valideneinkommen des Versicherten anhand des in der Lohnstrukturerhebung (LSE, herausgegeben vom Bundesamt fÃ¼r Statistik, Tabelle TA1 Ziff. 45 [Baugewerbe]) fÃ¼r MÃ¤nner ausgewiesenen Zentralwerts, was nicht zu beanstanden ist. Entgegen der Auffassung der IV-Stelle ist allerdings nicht auf das Anforderungsniveau 4, sondern mindestens auf das Anforderungs-niveau 3 abzustellen, denn der BeschwerdefÃ¼hrer hat eine Berufslehre zum Dachdecker absolviert (Urk. 7/1-2) und anschliessend die MeisterprÃ¼fung abgelegt (Urk. 7/7). Neben seinen beruflichen Qualifikationen hat er in diesem Beruf eine langjÃ¤hrige Erfahrung - unter anderem auch als GeschÃ¤ftsfÃ¼hrer (Urk. 7/11) - erlangt, welche sich auch im Bruttolohn von Fr. 34.01 niederschlug, welchen er im Zeitpunkt des Unfallereignisses erzielte (Urk. 7/15 S. 2) und der demjenigen entspricht, welcher gemÃ¤ss dem Gesamtarbeitsvertrag (GAV) Dach- und Wandgewerbe ein Berufsarbeiter erzielt, der Ã¼ber eine Berufserfahrung in der Branche von mindestens 48 Monaten verfÃ¼gt (Urk. 7/57 S. 4 in der Mitte).</w:t>
      </w:r>
    </w:p>
    <w:p>
      <w:r>
        <w:t>Â Â Â Â Â Â Â Â  Bei der Berechnung des Validenlohns ist gemÃ¤ss den aktuellen Daten (Die Volkswirtschaft, das Magazin fÃ¼r Wirtschaftspolitik, 6-2012, TA B 10.1 fÃ¼r das Jahr 2010) somit von einem Monatslohn von Fr. 5'742.-- auszugehen. Dementsprechend betrÃ¤gt das Valideneinkommen des Versicherten Fr. 71'660.15 (Fr. 5'742.-- : 40 x 41,6 [betriebsÃ¼bliche wÃ¶chentliche Arbeitszeit gemÃ¤ss Die Volkswirtschaft, a.a.O., TA B9.2, Noga-Abschnitt F] x 12 [MonatslÃ¶hne]).</w:t>
      </w:r>
    </w:p>
    <w:p>
      <w:r>
        <w:t>3.2Â Â Â Â  Entsprechend den von der IV-Stelle getroffenen (Urk. 7/50), zutreffenden und vom BeschwerdefÃ¼hrer nicht bestrittenen Annahmen (Urk. 1 S. 5 Ziff. 2.2) ergibt eine aktuelle Berechnung ein Invalideneinkommen des Versicherten in der HÃ¶he von Fr. 55'048.05 (Fr. 4'901.-- [Durchschnittlicher Monatslohn fÃ¼r MÃ¤nner im Jahr 2010, Anforderungsniveau 4, gemÃ¤ss Die Volkswirtschaft, a.a.O., TA B10.1, Total] : 40 x 41,6 [gemÃ¤ss Die Volkswirtschaft, a.a.O., TA B9.2, Noga-Abschnitte A-S] x 12 [MonatslÃ¶hne] x 0.9 [GewÃ¤hrung eines 10%igen, leidensbedingten Abzugs]).</w:t>
      </w:r>
    </w:p>
    <w:p>
      <w:r>
        <w:t>3.3Â Â Â Â  Aufgrund der ermittelten Einkommen ergibt sich ein InvaliditÃ¤tsgrad in der HÃ¶he von 23 %, womit die invaliditÃ¤tsmÃ¤ssige Voraussetzung fÃ¼r die GewÃ¤hrung einer Umschulung (InvaliditÃ¤t von 20 %, vgl. E. 1.5) erfÃ¼llt ist. Auf das Argument des BeschwerdefÃ¼hrers, wonach aufgrund der fÃ¼r das linke Knie gestellten Diagnose eine hÃ¶here ArbeitsunfÃ¤higkeit und somit ein niedrigeres Invalideneinkommen vorliegen kÃ¶nne (Urk. 1 S. 5 Ziff. 2.2 am Ende), ist deshalb nicht nÃ¤her einzugehen.</w:t>
      </w:r>
    </w:p>
    <w:p>
      <w:r>
        <w:t>4.Â Â Â Â Â Â  Die GewÃ¤hrung einer Umschulung setzt weiter eine invaliditÃ¤tsbedingte Notwendigkeit voraus. GemÃ¤ss Randziffer 4013 KSBE ist eine Notwendigkeit dann zu bejahen, wenn eine versicherte Person nicht in zureichender und zumutbarer Weise eingegliedert ist und keine MÃ¶glichkeit besteht, ihr ohne zusÃ¤tzliche Ausbildung einen geeigneten und zumutbaren Arbeitsplatz zu vermitteln.</w:t>
      </w:r>
    </w:p>
    <w:p>
      <w:r>
        <w:t>Â Â Â Â Â Â Â Â  Der BeschwerdefÃ¼hrer reichte im Rahmen der Beschwerde eine grosse Anzahl Stellenanzeigen fÃ¼r Stellen als Bau- und Projektleiter ein (Urk. 3/2-3). Aus diesen Unterlagen ergibt sich, dass fÃ¼r eine Aufgabe als BaufÃ¼hrer eine abgeschlossene Ausbildung als dipl. BaufÃ¼hrer SBA, dipl. Bauleiter, Bauingenieur FH oder HF sowie Baumeister verlangt wird (Urk. 3/2). Die Aufgabe als Projektleiter erfordert regelmÃ¤ssig eine abgeschlossene Ausbildung als Architekt ETH oder FH, Bauleiter HFP, Hochbauleitertechniker HF oder TS, Hochbauzeichner, Bauingenieur ETH oder FH oder ImmobilienÃ¶konom (Urk. 3/3). Da der BeschwerdefÃ¼hrer Ã¼ber keine solche Ausbildung verfÃ¼gt, steht ihm entgegen der Auffassung der IV-Stelle (Urk. 2 S. 2) die MÃ¶glichkeit, als Bau- oder Projektleiter zu arbeiten, nicht offen.</w:t>
      </w:r>
    </w:p>
    <w:p>
      <w:r>
        <w:t>5.Â Â Â Â Â Â  Zusammenfassend sind die Voraussetzungen fÃ¼r die GewÃ¤hrung einer Umschulung somit gegeben, weshalb die Beschwerde gutzuheissen ist.</w:t>
      </w:r>
    </w:p>
    <w:p>
      <w:r>
        <w:t>6.Â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600.-- festzulegen und der Beschwerdegegnerin als unterliegender Partei aufzuerlegen.</w:t>
      </w:r>
    </w:p>
    <w:p>
      <w:r>
        <w:t>7.Â Â Â Â Â Â  Bei Gutheissung der Beschwerde hat der vertretene BeschwerdefÃ¼hrer Anspruch auf eine ProzessentschÃ¤digung. Diese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2'600.-- (inkl. Mehrwertsteuer und Barauslagen) zuzusprechen.</w:t>
      </w:r>
    </w:p>
    <w:p>
      <w:r>
        <w:t>Das Gericht erkennt:</w:t>
      </w:r>
    </w:p>
    <w:p>
      <w:r>
        <w:t>1.Â Â Â Â Â Â Â Â  In Gutheissung der Beschwerde wird die VerfÃ¼gung der Sozialversicherungsanstalt des Kantons ZÃ¼rich, IV-Stelle, vom 8. November 2011 aufgehoben.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Rechtsanwalt Dominik Frey, unter Beilage einer Kopie von Urk. 12 und Urk. 17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