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IV.2011.01167 vom 14. Dezember 2012</w:t>
      </w:r>
    </w:p>
    <w:p>
      <w:r>
        <w:t>ZH Sozialversicherungsgericht, 2012-12-14, DE</w:t>
      </w:r>
    </w:p>
    <w:p>
      <w:r>
        <w:rPr>
          <w:b/>
        </w:rPr>
        <w:t xml:space="preserve">Quelle: </w:t>
      </w:r>
      <w:r>
        <w:t>https://mcp.opencaselaw.ch/entscheid/zh_sozialversicherungsgericht_IV.2011.01167</w:t>
      </w:r>
    </w:p>
    <w:p>
      <w:r>
        <w:t>FR: ZH_SOZIALVERSICHERUNGSGERICHT IV.2011.01167 du 14 décembre 2012</w:t>
      </w:r>
    </w:p>
    <w:p>
      <w:r>
        <w:t>IT: ZH_SOZIALVERSICHERUNGSGERICHT IV.2011.01167 del 14 dicembre 2012</w:t>
      </w:r>
    </w:p>
    <w:p>
      <w:pPr>
        <w:pStyle w:val="Heading2"/>
      </w:pPr>
      <w:r>
        <w:t>Erwägungen</w:t>
      </w:r>
    </w:p>
    <w:p>
      <w:r>
        <w:rPr>
          <w:b/>
        </w:rPr>
        <w:t>E. 2</w:t>
      </w:r>
    </w:p>
    <w:p>
      <w:r>
        <w:t>2.1Â Â Â Â  Die Beschwerdegegnerin hat den gesetzlichen Auftrag, den Sachverhalt von Amtes wegen abzuklÃ¤ren (vgl. Art. 43 des Bundesgesetzes Ã¼ber den Allgemeinen Teil des Sozialversicherungsrechts, ATSG).</w:t>
      </w:r>
    </w:p>
    <w:p>
      <w:r>
        <w:t>Â Â Â Â Â Â Â Â  Dabei darf sie - unter anderem - auch Erkenntnisse berÃ¼cksichtigen, die sich aus einer von dritter Seite veranlassten Observation ergeben (Urteil des Bundesgerichts 8C_195/2011 vom 15. Dezember 2011 E. 3.3).</w:t>
      </w:r>
    </w:p>
    <w:p>
      <w:r>
        <w:t>Â Â Â Â Â Â Â Â  Soweit die Beschwerdegegnerin Erkenntnisse aus einer Observation in ihre Beurteilung mit einbezieht, ist dies nur ausnahmsweise ohne erneute medizinische WÃ¼rdigung zulÃ¤ssig. Vielmehr entspricht es stÃ¤ndiger Praxis, dass nicht bereits vom Observationsmaterial auf die anspruchsrelevanten UmstÃ¤nde (namentlich die ArbeitsfÃ¤higkeit) zu schliessen ist, sondern dass zwecks Beurteilung der Anspruchsgrundlagen in Kenntnis aller UmstÃ¤nde, also auch des Observationsmaterials, eine Ã¤rztliche Beurteilung veranlasst und erst gestÃ¼tzt darauf entschieden wird (vgl. etwa Urteile des Bundesgerichts 9C_896/2011 vom 31. Januar 2012 E. 4.3 und 8C_300/2011 vom 30. Juni 2011 E. 2.3.1).</w:t>
      </w:r>
    </w:p>
    <w:p>
      <w:r>
        <w:t>2.2Â Â Â Â  Vor dem Hintergrund der genannten Rechtslage vermag das Vorbringen des BeschwerdefÃ¼hrers, die Observationsergebnisse seien nicht relevant, nicht zu Ã¼berzeugen. Es handelt sich dabei vielmehr um einen Parteistandpunkt, Ã¼ber dessen Richtigkeit erst die angeordnete Begutachtung - im Rahmen der von Amtes wegen vorzunehmenden SachverhaltsabklÃ¤rung - Aufschluss zu geben vermag.</w:t>
      </w:r>
    </w:p>
    <w:p>
      <w:r>
        <w:t>Â Â Â Â Â Â Â Â  Der vom BeschwerdefÃ¼hrer vertretene Standpunkt ist mithin nicht geeignet, die Erforderlichkeit der Begutachtung fraglich erscheinen zu lassen; er ist im Gegenteil mit ein Grund dafÃ¼r, dass eine solche angezeigt ist, eben um den erhobenen Einwand auf seine SchlÃ¼ssigkeit hin fachkundig beurteilen zu lassen.</w:t>
      </w:r>
    </w:p>
    <w:p>
      <w:r>
        <w:t>3.Â Â Â Â Â Â  Der Einwand der Befangenheit des Y.___ aufgrund von Ã¶rtlicher NÃ¤he und wirtschaftlicher AbhÃ¤ngigkeit scheitert an der klaren Feststellung des Bundesgerichts, wonach gemÃ¤ss gefestigter Rechtsprechung der regelmÃ¤ssige Beizug eines Gutachters oder einer Begutachtungsinstitution durch den VersicherungstrÃ¤ger, die Anzahl der dort in Auftrag gegebenen Gutachten und Berichte sowie das daraus resultierende Honorarvolumen keinen Ausstandsgrund bilden (BGE 137 V 210 E. 1.3.3 S. 226 f.).</w:t>
      </w:r>
    </w:p>
    <w:p>
      <w:r>
        <w:t>Â Â Â Â Â Â Â Â  Nachdem der BeschwerdefÃ¼hrer selber auf BGE 137 V 210 Bezug genommen hat, darf dieser als bekannt vorausgesetzt werden, womit sich Weiterungen erÃ¼brigen.</w:t>
      </w:r>
    </w:p>
    <w:p>
      <w:r>
        <w:t>4.Â Â Â Â Â Â  Der BeschwerdefÃ¼hrer machte weiter geltend, unter den gegebenen UmstÃ¤nden habe er - wenn schon - Anspruch auf ein Gerichtsgutachten.</w:t>
      </w:r>
    </w:p>
    <w:p>
      <w:r>
        <w:t>Â Â Â Â Â Â Â Â  Auch dies erweist sich als offensichtlich unzutreffend. Das Gerichtsgutachten tritt an die Stelle einer RÃ¼ckweisung der Sache an die Verwaltung in den FÃ¤llen, in denen eine Administrativexpertise in einem rechtserheblichen Punkt nicht beweiskrÃ¤ftig ist (BGE 137 V 210 E. 4.4.1.4 S. 264 f.).</w:t>
      </w:r>
    </w:p>
    <w:p>
      <w:r>
        <w:t>Â Â Â Â Â Â Â Â  Davon kann vorliegend, da nicht die Beweistauglichkeit von bereits von der Beschwerdegegnerin oder anderweitig eingeholten Gutachten strittig ist, sondern der BeschwerdefÃ¼hrer die Erforderlichkeit einer Begutachtung Ã¼berhaupt bestreitet, nicht die Rede sein.</w:t>
      </w:r>
    </w:p>
    <w:p>
      <w:r>
        <w:t>5.Â Â Â Â Â Â  Nachdem feststeht, dass die Beschwerdegegnerin zwecks AbklÃ¤rung des Sachverhalts von Amtes wegen berechtigt - wenn nicht gar verpflichtet - ist, ein Gutachten zu veranlassen, erweist sich der Vorwurf, sie wolle sich unzulÃ¤ssigerweise eine Âsecond opinionÂ verschaffen, als ebenso wenig begrÃ¼ndet wie derjenige der RechtsverzÃ¶gerung.</w:t>
      </w:r>
    </w:p>
    <w:p>
      <w:r>
        <w:rPr>
          <w:b/>
        </w:rPr>
        <w:t>E. 6</w:t>
      </w:r>
    </w:p>
    <w:p>
      <w:r>
        <w:t>6.1Â Â Â Â  Zusammengefasst erweisen sich alle beschwerdeweise erhobenen RÃ¼gen als unbegrÃ¼ndet.</w:t>
      </w:r>
    </w:p>
    <w:p>
      <w:r>
        <w:t>Â Â Â Â Â Â Â Â  Angesichts der erheblichen Zeitspanne zwischen dem Erlass der angefochtenen VerfÃ¼gung und dem vorliegenden Urteil kann es allerdings nicht mit dem blossen Abweisen der Beschwerde sein Bewenden haben. Vielmehr sind PrÃ¤zisierungen angebracht.</w:t>
      </w:r>
    </w:p>
    <w:p>
      <w:r>
        <w:t>6.2Â Â Â Â  Zu bestÃ¤tigen ist, dass die Beschwerdegegnerin grundsÃ¤tzlich zu Recht eine Begutachtung angeordnet hat, und dass die gegen das Y.___ erhobenen EinwÃ¤nde nicht stichhaltig sind. Im Lichte von BGE 137 V 210 stehen dem BeschwerdefÃ¼hrer nunmehr allerdings Verfahrensrechte zu, die bei der weiteren Bearbeitung der Sache zu beachten sind. Namentlich hat er (nebst dem Anspruch, sich zu Ã¤ussern, wenn die Personen feststehen, die das Gutachten erstatten) das Recht, zu den vorgesehenen Fragen an die Gutachter Stellung zu nehmen (BGE 137 V 210 E. 3.4.2.9 S. 258). Darauf wird, auch wenn die Beschwerde abzuweisen ist, ausdrÃ¼cklich hingewiesen.</w:t>
      </w:r>
    </w:p>
    <w:p>
      <w:r>
        <w:t>6.3Â Â Â Â  Da eine verfahrensleitende ZwischenverfÃ¼gung angefochten ist, handelt es sich nicht um eine Leistungsstreitigkeit, womit das Verfahren kostenlos ist (Art. 69 Abs. 1 bis des Bundesgesetzes Ã¼ber die Invalidenversicherung e contrario).</w:t>
      </w:r>
    </w:p>
    <w:p>
      <w:r>
        <w:t>Das Gericht erkennt:</w:t>
      </w:r>
    </w:p>
    <w:p>
      <w:r>
        <w:t>1.Â Â Â Â Â Â Â Â  Die Beschwerde wird im Sinne von ErwÃ¤gung 6.2 abgewiesen.</w:t>
      </w:r>
    </w:p>
    <w:p>
      <w:r>
        <w:t>2.Â Â Â Â Â Â Â Â  Das Verfahren ist kostenlos.</w:t>
      </w:r>
    </w:p>
    <w:p>
      <w:r>
        <w:t>3.Â Â Â Â Â Â Â Â  Zustellung gegen Empfangsschein an:</w:t>
      </w:r>
    </w:p>
    <w:p>
      <w:r>
        <w:t>- Rechtsanwalt Dr. Patrick SchÃ¶nbÃ¤chler</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