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IV.2011.01132 vom 19. Dezember 2011</w:t>
      </w:r>
    </w:p>
    <w:p>
      <w:r>
        <w:t>ZH Sozialversicherungsgericht, 2011-12-19, DE</w:t>
      </w:r>
    </w:p>
    <w:p>
      <w:r>
        <w:rPr>
          <w:b/>
        </w:rPr>
        <w:t xml:space="preserve">Quelle: </w:t>
      </w:r>
      <w:r>
        <w:t>https://mcp.opencaselaw.ch/entscheid/zh_sozialversicherungsgericht_IV.2011.01132</w:t>
      </w:r>
    </w:p>
    <w:p>
      <w:r>
        <w:t>FR: ZH_SOZIALVERSICHERUNGSGERICHT IV.2011.01132 du 19 décembre 2011</w:t>
      </w:r>
    </w:p>
    <w:p>
      <w:r>
        <w:t>IT: ZH_SOZIALVERSICHERUNGSGERICHT IV.2011.01132 del 19 dicembre 2011</w:t>
      </w:r>
    </w:p>
    <w:p>
      <w:pPr>
        <w:pStyle w:val="Heading2"/>
      </w:pPr>
      <w:r>
        <w:t>Erwägungen</w:t>
      </w:r>
    </w:p>
    <w:p>
      <w:r>
        <w:rPr>
          <w:b/>
        </w:rPr>
        <w:t>E. 3</w:t>
      </w:r>
    </w:p>
    <w:p>
      <w:r>
        <w:t>3.1Â Â Â Â  Nach dem unter E. 1.2 Gesagten kann die Beschwerdegegnerin bei Verletzung der Mitwirkungspflicht aufgrund der Akten verfÃ¼gen. Sie tat dies vorliegend gestÃ¼tzt auf den Umstand, dass der BeschwerdefÃ¼hrer bei den beruflichen AbklÃ¤rungen seit dem Sommer 2010 an insgesamt vier Terminen (29. September 2010, 16. Dezember 2010, 4. April 2011 und 8. Juli 2011) nicht erschien, wovon dreimal unentschuldigt.</w:t>
      </w:r>
    </w:p>
    <w:p>
      <w:r>
        <w:t>Â Â Â Â Â Â Â Â  Nachdem der BeschwerdefÃ¼hrer zum Termin vom 29. September 2010 nicht erschienen war, schlug die Beschwerdegegnerin mit Schreiben vom 1. Oktober 2010 als neuen Besprechungstermin den 16. Dezember 2010 vor (Urk. 8/30). Auch an diesem Datum erschien der BeschwerdefÃ¼hrer unentschuldigt nicht, worauf ihn die Beschwerdegegnerin mit eingeschriebenem Schreiben vom 16. Dezember 2010 unter Hinweis auf Art. 21 Abs. 4 ATSG, wonach Leistungen vorÃ¼bergehend oder dauernd gekÃ¼rzt oder verweigert werden kÃ¶nnen, wenn sich die versicherte Person einer zumutbaren Behandlung oder Eingliederung ins Erwerbsleben entzieht oder widersetzt, letztmals zur Kontaktaufnahme bis zum 14. Januar 2011 aufforderte (Urk. 8/31) und mit Schreiben vom 19. Januar 2011Â  - ebenfalls unter Androhung der Rechtsfolgen von Art. 21 Abs. 4 ATSG - einen GesprÃ¤chstermin am 5. April 2011 vorschlug (Urk. 8/32). Tags zuvor hatte sich der BeschwerdefÃ¼hrer per E-Mail gemeldet und mitgeteilt, dass er den letzten Termin wegen einer LungenentzÃ¼ndung vergessen habe abzusagen. Er mÃ¶chte einen neuen Termin vereinbaren (Urk. 8/33). Am 4. April 2011 liess sich der BeschwerdefÃ¼hrer aus gesundheitlichen GrÃ¼nden entschuldigen (Urk. 8/35), worauf ihn die Beschwerdegegnerin mit Schreiben vom 5. April 2011 (Urk. 8/34) um Kontaktaufnahme zwecks Terminvereinbarung bis zum 21. April 2011 bat. Mit E-Mail vom 21. April 2011 tat der BeschwerdefÃ¼hrer seine Vorstellungen Ã¼ber eine Weiterbildung kund und bat um einen neuen Besprechungstermin (Urk. 8/36). In der Folge reservierte die Beschwerdegegnerin einen Termin auf den 8. Juli 2011 (Urk. 8/37), welchen der BeschwerdefÃ¼hrer wiederum nicht wahrnahm.</w:t>
      </w:r>
    </w:p>
    <w:p>
      <w:r>
        <w:t>3.2Â Â Â Â  Die KÃ¼rzung oder Verweigerung von Leistungen rechtfertigt sich erst nach DurchfÃ¼hrung eines entsprechenden Mahn- und Bedenkzeitverfahrens. Sinn und Zweck des Mahn- und Bedenkzeitverfahrens ist einerseits, den Versicherten nicht Folgen eines Verhaltens tragen zu lassen, Ã¼ber dessen Auswirkungen er sich mÃ¶glicherweise keine Rechenschaft abgelegt hat. Anderseits soll er innerhalb der gesetzten Frist und im Wissen um die angedrohten Folgen seine bisherige Verweigerungshaltung aufgeben kÃ¶nnen. Im Hinblick auf die Zielsetzung der Eingliederungsmassnahmen, einen Zustand wiederherzustellen oder zu verbessern, darf die KÃ¼rzung oder Verweigerung von Leistungen ohne RÃ¼cksicht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kÃ¶nne (vgl. Urteil des Bundesgerichts 9C_494/2007 vom 6. Mai 2008, E. 2.2.2 mit Hinweisen).</w:t>
      </w:r>
    </w:p>
    <w:p>
      <w:r>
        <w:t>Â Â Â Â Â Â Â Â  Vorliegend hat die Beschwerdegegnerin die erforderliche Androhung erstmals im eingeschriebenen Brief vom 16. Dezember 2010 an den BeschwerdefÃ¼hrer (Urk. 8/31) ausgesprochen und dem BeschwerdefÃ¼hrer persÃ¶nlich zugestellt, obwohl dieser mit Mandatsanzeige vom 4. November 2009 (Urk. 8/19-20) seit gut einem Jahr vertreten war.</w:t>
      </w:r>
    </w:p>
    <w:p>
      <w:r>
        <w:t>3.3Â Â Â Â  Im Sozialversicherungsrecht des Bundes gilt der allgemeine Grundsatz, dass Mitteilungen von BehÃ¶rden an die Vertretung einer Partei zu richten sind, solange die Partei ihre Vollmacht nicht widerruft. Dieser Grundsatz dient - im Interesse der Rechtssicherheit - dazu, allfÃ¤llige Zweifel darÃ¼ber zum vornherein zu beseitigen, ob die Mitteilungen an die Partei selber oder an ihre Vertretung zu erfolgen haben, sowie um klarzustellen, welches die fÃ¼r einen Fristenlauf massgebenden Mitteilungen sein sollen (ZAK 1991 S. 377 E. 2a; RKUV 1997 Nr. U 288 S. 444 E. 2b, je mit Hinweisen). Die Beschwerdegegnerin stellte in ErfÃ¼llung dieses Grundsatzes dem Rechtsvertreter des BeschwerdefÃ¼hrers zwar ihre Mitteilung betreffend die UnmÃ¶glichkeit zu derzeitigen beruflichen Eingliederungsmassnahmen vom 25. Januar 2010 (Urk. 8/23), den Vorbescheid vom 12. Juli 2011 (Urk. 8/39) und schliesslich die VerfÃ¼gung vom 23. September 2011 (Urk. 2) zu, informierte ihn jedoch nicht Ã¼ber die GesprÃ¤chseinladungen zur AbklÃ¤rung Ã¼ber die berufliche Situation des BeschwerdefÃ¼hrers und infolgedessen auch nicht Ã¼ber das Mahn- und Bedenkzeitverfahren (vgl. Urk. 8/27-37).</w:t>
      </w:r>
    </w:p>
    <w:p>
      <w:r>
        <w:t>Â Â Â Â Â Â Â Â  GemÃ¤ss Art. 37 Abs. 3 ATSG sind Mitteilungen an die Vertretung zu machen, wobei unter dem Begriff Mitteilung insbesondere auch Aufforderungen zur Mitwirkung im Sinne von Art. 21 Abs. 4 ATSG oder Einladungen zu AbklÃ¤rungsmassnahmen zu verstehen sind (Kieser, ATSG Kommentar, 2. Aufl., Art. 37 Rz 13). Die Beschwerdegegnerin wÃ¤re deshalb verpflichtet gewesen, zumindest diese Schreiben mit Androhung der Rechtsfolgen von Art. 21 Abs. 4 ATSG der Vertretung des BeschwerdefÃ¼hrers zuzustellen. Dies wÃ¤re umso mehr angebracht gewesen, da sich der BeschwerdefÃ¼hrer offenbar Ã¼ber die Tragweite seines Verhaltens nicht wirklich bewusst war. Da sich in den Verwaltungsakten keine Anhaltspunkte fÃ¼r eine entsprechende Zustellung an den Rechtsvertreter finden, ist davon auszugehen, dass das Mahn- und Bedenkzeitverfahren nicht korrekt durchgefÃ¼hrt wurde. DarÃ¼ber hinaus hatte der BeschwerdefÃ¼hrer auch nie geltend gemacht, dass er nicht bereit sei, die Massnahmen zu durchlaufen.</w:t>
      </w:r>
    </w:p>
    <w:p>
      <w:r>
        <w:t>3.4Â Â Â Â  Die Beschwerde ist deshalb in dem Sinne gutzuheissen, dass der angefochtene Entscheid aufgehoben und die Sache an die Beschwerdegegnerin zurÃ¼ckgewiesen wird, damit sie vor dem Entscheid Ã¼ber das Leistungsbegehren das Mahn- und Bedenkzeitverfahren korrekt durchfÃ¼hre.</w:t>
      </w:r>
    </w:p>
    <w:p>
      <w:r>
        <w:rPr>
          <w:b/>
        </w:rPr>
        <w:t>E. 4</w:t>
      </w:r>
    </w:p>
    <w:p>
      <w:r>
        <w:t>4.1Â Â Â Â  Da es im vorliegenden Verfahren um die Bewilligung oder Verweigerung von IV-Leistungen geht, ist das Verfahren kostenpflichtig. Die Gerichtskosten sind nach dem Verfahrensaufwand und unabhÃ¤ngig vom Streitwert festzulegen (Art. 69 Abs. 1 bis IVG) und auf Fr. 500.-- zu bemessen.</w:t>
      </w:r>
    </w:p>
    <w:p>
      <w:r>
        <w:t>Â Â Â Â Â Â Â Â  Nach stÃ¤ndiger Rechtsprechung gilt die RÃ¼ckweisung einer Sache an die Verwaltung zur weiteren AbklÃ¤rung und neuen VerfÃ¼gung als vollstÃ¤ndiges Obsiegen (vgl. Urteil des EidgenÃ¶ssischen Versicherungsgerichts vom 10. Februar 2004 in Sachen K., U 199/02, E. 6 mit Hinweis auf BGE 110 V 57 E. 3a; SVR 1999 IV Nr. 10 S. 28 E. 3), weshalb die Gerichtskosten entsprechend dem Ausgang des Verfahrens der Beschwerdegegnerin aufzuerlegen sind.</w:t>
      </w:r>
    </w:p>
    <w:p>
      <w:r>
        <w:t>4.2Â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In Anwendung dieser Kriterien ist dem BeschwerdefÃ¼hrer eine ProzessentschÃ¤digung von Fr. 800.-- (inklusive Barauslagen und Mehrwertsteuer) zuzusprechen.</w:t>
      </w:r>
    </w:p>
    <w:p>
      <w:r>
        <w:t>Das Gericht erkennt:</w:t>
      </w:r>
    </w:p>
    <w:p>
      <w:r>
        <w:t>1.Â Â Â Â Â Â Â Â  Die Beschwerde wird in dem Sinne gutgeheissen, dass die angefochtene VerfÃ¼gung vom 23. September 2011 aufgehoben und die Sache an die Sozialversicherungsanstalt des Kantons ZÃ¼rich, IV-Stelle, zurÃ¼ckgewiesen wird, damit diese im Sinne der ErwÃ¤gungen verfahre und anschliessend neu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800.-- (inkl. Barauslagen und MWSt) zu bezahlen.</w:t>
      </w:r>
    </w:p>
    <w:p>
      <w:r>
        <w:t>4.Â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