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IV.2011.01107 vom 15. Februar 2012</w:t>
      </w:r>
    </w:p>
    <w:p>
      <w:r>
        <w:t>ZH Sozialversicherungsgericht, 2012-02-15, DE</w:t>
      </w:r>
    </w:p>
    <w:p>
      <w:r>
        <w:rPr>
          <w:b/>
        </w:rPr>
        <w:t xml:space="preserve">Quelle: </w:t>
      </w:r>
      <w:r>
        <w:t>https://mcp.opencaselaw.ch/entscheid/zh_sozialversicherungsgericht_IV.2011.01107</w:t>
      </w:r>
    </w:p>
    <w:p>
      <w:r>
        <w:t>FR: ZH_SOZIALVERSICHERUNGSGERICHT IV.2011.01107 du 15 février 2012</w:t>
      </w:r>
    </w:p>
    <w:p>
      <w:r>
        <w:t>IT: ZH_SOZIALVERSICHERUNGSGERICHT IV.2011.01107 del 15 febbraio 2012</w:t>
      </w:r>
    </w:p>
    <w:p>
      <w:pPr>
        <w:pStyle w:val="Heading2"/>
      </w:pPr>
      <w:r>
        <w:t>Erwägungen</w:t>
      </w:r>
    </w:p>
    <w:p>
      <w:r>
        <w:rPr>
          <w:b/>
        </w:rPr>
        <w:t>E. 4</w:t>
      </w:r>
    </w:p>
    <w:p>
      <w:r>
        <w:t>4.1Â Â Â Â  Die zitierte Rechtsprechung greift nur dort, wo der VersicherungstrÃ¤ger von der versicherten Person eine konkrete Massnahme im Rahmen der Schadenminderungspflicht verlangt, ohne gleichzeitig einen Rechtsnachteil anzudrohen fÃ¼r den Fall der Nichtbefolgung der Massnahme. Allerdings macht eine dergestaltete Auflage in den meisten FÃ¤llen keinen Sinn. Denn in der Regel wird in FÃ¤llen einstweilen gewÃ¤hrter Renten eine Schadenminderungspflicht auferlegt, was voraussetzt, dass der VersicherungstrÃ¤ger insbesondere aufgrund medizinischer AbklÃ¤rungen zum Schluss gelangt, dass eine bestimmte Massnahme zur Minderung der ArbeitsunfÃ¤higkeit fÃ¼hren kann. Diese Prognose muss mindestens mit dem Grad der Wahrscheinlichkeit gesichert sein, die blosse MÃ¶glichkeit genÃ¼gt zur Auferlegung einer Schadenminderungspflicht grundsÃ¤tzlich nicht. Sodann hat der VersicherungstrÃ¤ger konkret anzugeben, von welchem medizinischen Sachverhalt und damit einhergehend von welcher Verbesserung der ArbeitsfÃ¤higkeit er ausgehen wird, falls sich die versicherte Person der Massnahme nicht unterziehen. Die Androhung, diesfalls werde bei der nÃ¤chsten Rentenrevision der Sachverhalt so beurteilt, wie wenn die Massnahme durchgefÃ¼hrt worden ist, genÃ¼gt nicht, kann doch diesfalls die versicherte Person Ã¼berhaupt nicht bedenken, ob er sich einer Massnahme unterziehen soll. Wenn der VersicherungstrÃ¤ger mit Wahrscheinlichkeit eine Verminderung der ArbeitsunfÃ¤higkeit erwartet, hat er anzugeben, von welchem Umfang er im Unterlassungsfall ausgehen wird (z.B. von 100 % auf 50 % ArbeitsunfÃ¤higkeit). Schliesslich wird die Bedenkzeit spÃ¤testens mit dem Termin der nÃ¤chsten Rentenrevision beendet, was indes je nach Art der Massnahme nicht bedeutet, dass die versicherte Person bis zu diesem Zeitpunkt zuwarten kann.Â Â</w:t>
      </w:r>
    </w:p>
    <w:p>
      <w:r>
        <w:t>4.2Â Â Â Â  Das Schreiben der Beschwerdegegnerin vom 7. September 2011 enthÃ¤lt die aufgezeigten Elemente, es fehlt indes an der Konkretisierung. Die auferlegte Massnahme werde zwar nicht mit 100 % Sicherheit eine eindeutige Verbesserung (in Bezug auf was?) bringen, aber eine Verschlechterung kÃ¶nne als vermeidbar eingeschÃ¤tzt werden (bei 100%iger ArbeitsunfÃ¤higkeit eingliederungswirksam?). Eine Bedenkzeit wird sinngemÃ¤ss bis zur amtlichen Revision per Mai 2013 eingerÃ¤umt. Dannzumal wird bei Nichtbefolgung der Massnahme der (weitere) Rentenanspruch so beurteilt, als ob sie durchgefÃ¼hrt worden wÃ¤re, was zur Einstellung oder KÃ¼rzung der Rente fÃ¼hren kann (Androhung von Rechtsnachteilen). Dies genÃ¼gt der Konkretisierung allerdings nicht. Vorliegend mÃ¼sste schon jetzt festgelegt und angedroht werden, dass im Unterlassungsfall im Revisionszeitpunkt von einer Verbesserung der psychisch bedingten ArbeitsunfÃ¤higkeit zum Beispiel um 50 % ausgegangen und unter dieser Annahme der (weitere) Rentenanspruch neu beurteilt werde. Auch wenn mangelhaft hat vorliegend die Beschwerdegegnerin mit der Auflage der Schadenminderungspflicht faktisch das Mahn- und Bedenkzeitverfahren eingeleitet, weshalb sie gehalten gewesen wÃ¤re, dem Ersuchen des BeschwerdefÃ¼hrers stattzugeben und darÃ¼ber eine beschwerdefÃ¤hige VerfÃ¼gung zu erlassen.</w:t>
      </w:r>
    </w:p>
    <w:p>
      <w:r>
        <w:t>5.Â Â Â Â Â Â Â Â  GestÃ¼tzt auf diese ErwÃ¤gungen ist eine Rechtsverweigerung durch die Beschwerdegegnerin zu bejahen, weshalb die Beschwerde in dem Sinne gutzuheissen ist, dass die Sache an die Beschwerdegegnerin mit der Auflage zurÃ¼ckzuweisen ist, nach PrÃ¼fung der EinwÃ¤nde in der vorliegenden Beschwerdeschrift die Auferlegung der Schadenminderungspflicht, soweit sie daran festhÃ¤lt, im Sinne der ErwÃ¤gungen verfÃ¼gungsweise zu regeln.</w:t>
      </w:r>
    </w:p>
    <w:p>
      <w:r>
        <w:t>6.Â Â Â Â Â Â  Bei diesem Ausgang des Verfahrens ist die Beschwerdegegnerin zu verpflichten, dem BeschwerdefÃ¼hrer eine ProzessentschÃ¤digung zu bezahlen, wobei eine solche von Fr. 1'600.-- als angemessen erscheint.</w:t>
      </w:r>
    </w:p>
    <w:p>
      <w:r>
        <w:t>Das Gericht erkennt:</w:t>
      </w:r>
    </w:p>
    <w:p>
      <w:r>
        <w:t>1.Â Â Â Â Â Â Â Â  Die Beschwerde wird in dem Sinne gutgeheissen, dass die Sache an die Beschwerdegegnerin zurÃ¼ckgewiesen wird, damit sie im Sinne der ErwÃ¤gungen Ã¼ber die Auferlegung der Schadenminderungspflicht samt Mahn- und Bedenkzeit eine beschwerdefÃ¤hige VerfÃ¼gung erlasse.</w:t>
      </w:r>
    </w:p>
    <w:p>
      <w:r>
        <w:t>2.Â Â Â Â Â Â Â Â  Das Verfahren ist kostenlos.</w:t>
      </w:r>
    </w:p>
    <w:p>
      <w:r>
        <w:t>3.Â Â Â Â Â Â Â Â  Die Beschwerdegegnerin wird verpflichtet, dem BeschwerdefÃ¼hrer eine ProzessentschÃ¤digung von Fr. 1'600.-- zu bezahlen.</w:t>
      </w:r>
    </w:p>
    <w:p>
      <w:r>
        <w:t>4.Â Â Â Â Â Â Â Â Â Â  Zustellung gegen Empfangsschein an:</w:t>
      </w:r>
    </w:p>
    <w:p>
      <w:r>
        <w:t>- Rechtsanwalt Felix Barmettler</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