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IV.2011.00996 vom 29. November 2011</w:t>
      </w:r>
    </w:p>
    <w:p>
      <w:r>
        <w:t>ZH Sozialversicherungsgericht, 2011-11-29, DE</w:t>
      </w:r>
    </w:p>
    <w:p>
      <w:r>
        <w:rPr>
          <w:b/>
        </w:rPr>
        <w:t xml:space="preserve">Quelle: </w:t>
      </w:r>
      <w:r>
        <w:t>https://mcp.opencaselaw.ch/entscheid/zh_sozialversicherungsgericht_IV.2011.00996</w:t>
      </w:r>
    </w:p>
    <w:p>
      <w:r>
        <w:t>FR: ZH_SOZIALVERSICHERUNGSGERICHT IV.2011.00996 du 29 novembre 2011</w:t>
      </w:r>
    </w:p>
    <w:p>
      <w:r>
        <w:t>IT: ZH_SOZIALVERSICHERUNGSGERICHT IV.2011.00996 del 29 novembre 2011</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VolljÃ¤hrige,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7 Abs. 2 ATSG ist sinngemÃ¤ss anwendbar: Demnach sind fÃ¼r die Beurteilung des Vorliegens einer ErwerbsunfÃ¤higkeit ausschliesslich die Folgen der gesundheitlichen BeeintrÃ¤chtigung zu berÃ¼cksichtigen. Eine ErwerbsunfÃ¤higkeit liegt zudem nur vor, wenn sie aus objektiver Sicht nicht Ã¼berwindbar ist (Art. 8 Abs. 3 ATSG in der seit 1. Januar 2008 geltenden Fassung in Verbindung mit Art. 5 Abs. 1 IVG).</w:t>
      </w:r>
    </w:p>
    <w:p>
      <w:r>
        <w:t>1.3Â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Â Â Â Â Â Â Â Â  Bei verheirateten Versicherten ist Ã¼berdies die eherechtliche Aufgaben- und Rollenverteilung im Rahmen der ehelichen Gemeinschaft zu beachten. Dabei ist insbesondere zu berÃ¼cksichtigen, dass das auf den 1. Januar 1988 in Kraft getretene, neue Eherecht die Gleichberechtigung der Eheleute verwirklicht und auf jede gesetzlich bestimmte Aufgabenteilung verzichtet hat. Es ist ausdrÃ¼cklich dem Ehepaar Ã¼berlassen, sich Ã¼ber die Rollenverteilung sowie Ã¼ber Art und Umfang ihrer BeitrÃ¤ge an den Unterhalt der Familie zu einigen (Art. 163 Abs. 2 ZGB) und sich Ã¼ber die fÃ¼r die Bestreitung ihrer eigenen und der BedÃ¼rfnisse ihrer Kinder zweckmÃ¤ssige und notwendige Aufgabenteilung zu verstÃ¤ndigen (BGE 117 V 194, 114 II 13 E. 3). Mit dieser Freiheit der Eheleute in der Ausgestaltung ihrer Partnerschaft ist es nicht zu vereinbaren, einer traditionellen Rollenverteilung, die der Frau die Besorgung des Haushaltes zuweist, im Rahmen der InvaliditÃ¤tsbemessung den Vorrang einzurÃ¤umen und die beruflich-erwerblichen Interessen der Ehefrau geringer einzustufen als diejenigen des Ehemannes (BGE 117 V 194). Ob eine versicherte Person ohne Gesundheitsschaden ganz oder teilweise erwerbstÃ¤tig wÃ¤re oder den Haushalt besorgen wÃ¼rde, ist somit auch unter eherechtlichen Gesichtspunkten aufgrund einer GesamtwÃ¼rdigung der persÃ¶nlichen, beruflichen, sozialen und Ã¶konomischen UmstÃ¤nde des konkreten Falles zu beurteilen, wobei keinem dieser Kriterien zum vornherein vorrangige Bedeutung zukommt (BGE 117 V 194 in fine; SVR 1994 IV Nr. 17 E. 4a, AHI 1997 S. 289 und 1996 S. 197 f. E. 1c).</w:t>
      </w:r>
    </w:p>
    <w:p>
      <w:r>
        <w:t>Â Â Â Â Â Â Â Â  Diese GrundsÃ¤tze gelten auch bei der Rentenrevision und im Neuanmeldungsverfahren. Hier fÃ¼hren sie gegebenenfalls dazu, dass ein Rentenanspruch neu entstehen kann, nicht nur bei wesentlicher VerÃ¤nderung des Gesundheitszustandes, der erwerblichen Auswirkungen (oder der Auswirkungen in Bezug auf die BetÃ¤tigung im Ã¼blichen Aufgabenbereich) und bei Wandlung des Aufgabenbereichs (BGE 113 V 273 E. 1a, 105 V 29 mit Hinweisen), sondern auch dadurch, dass in dem fÃ¼r die Methodenwahl massgeblichen hypothetischen Sachverhalt wesentliche Ãnderungen eingetreten sind. Die in einem bestimmten Zeitpunkt massgebende Methode der InvaliditÃ¤tsschÃ¤tzung prÃ¤judiziert die kÃ¼nftige Rechtsstellung der versicherten Person somit nicht. Vielmehr kÃ¶nnen die alternativen Kriterien der ErwerbsunfÃ¤higkeit (Art. 28a Abs. 1 IVG; bis 31. Dezember 2007: Art. 28 Abs. 2 IVG; in Verbindung mit Art. 7 ATSG) einerseits und der UnmÃ¶glichkeit der BetÃ¤tigung im nicht erwerblichen Aufgabenbereich (Art. 5 Abs. 1 und 28a Abs. 3 IVG; bis 31. Dezember 2007: Art. 28 Abs. 3 ter IVG; in Verbindung mit Art. 8 Abs. 3 ATSG) anderseits einander ablÃ¶sen (BGE 117 V 198 E. 3b, 113 V 273 E. 1a, 110 V 284 E. 1a, 104 V 148 E. 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1.5Â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d.h.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9C_086/2009 vom 11. November 2010 E. 7.2 und 9C_631/2009 vom 2. Dezember 2009 E. 5.1.2 mit Hinweisen).</w:t>
      </w:r>
    </w:p>
    <w:p>
      <w:r>
        <w:rPr>
          <w:b/>
        </w:rPr>
        <w:t>E. 2</w:t>
      </w:r>
    </w:p>
    <w:p>
      <w:r>
        <w:t>2.1Â Â Â Â  Im angefochtenen Entscheid wurde - wie bereits oben erwÃ¤hnt - ausgefÃ¼hrt, die AbklÃ¤rungen hÃ¤tten ergeben, dass die BeschwerdefÃ¼hrerin heute ohne Gesundheitsschaden bloss noch mit einem 50 %-Pensum einer ausserhÃ¤uslichen ErwerbstÃ¤tigkeit nachgehen wÃ¼rde, damit sie sich daneben dem Haushalt ihrer Familie sowie der Betreuung der Kinder widmen kÃ¶nnte. Da der BeschwerdefÃ¼hrerin aufgrund ihres Gesundheitszustandes keine ErwerbstÃ¤tigkeit zumutbar sei, ergebe sich im Erwerbsbereich eine 100%ige Einbusse, was zu einem gewichteten TeilinvaliditÃ¤tsgrad von 50 % fÃ¼hre. Im Aufgabenbereich Haushalt betrage die EinschrÃ¤nkung gemÃ¤ss den getÃ¤tigten AbklÃ¤rungen 17 %, was einem TeilinvaliditÃ¤tsgrad in diesem Bereich von gerundet 9 % entspreche. Insgesamt resultiere ein InvaliditÃ¤tsgrad von 59 %, weshalb die bisher ausgerichtete ganze Invalidenrente auf eine halbe Rente herabzusetzen sei. ZusÃ¤tzlich nahm die IV-Stelle zu den im Vorbescheidverfahren geltend gemachten EinwÃ¤nden zur Qualifikation der BeschwerdefÃ¼hrerin als teilerwerbstÃ¤tige Hausfrau Stellung und erwog, da der Ehemann der Versicherten das von ihm betriebene Restaurant nur bis im MÃ¤rz 2005 gefÃ¼hrt habe, kÃ¶nne nicht mehr davon ausgegangen werden, dass sie ohne Gesundheitsschaden als Wirtsfrau im Betrieb des Ehegatten zu 100 % tÃ¤tig sein wÃ¼rde. Im Ã¼brigen habe sie klar gesagt, dass sie aufgrund der finanziellen Situation im Gesundheitsfall zu mindestens 50 % ausserhÃ¤uslich erwerbstÃ¤tig sein mÃ¼sste; gestÃ¼tzt auf diese Angaben der Versicherten gegenÃ¼ber der AbklÃ¤rungsperson sei die BeschwerdefÃ¼hrerin als teilerwerbstÃ¤tige Hausfrau mit einem ausserhÃ¤uslichen Pensum von 50 % zu qualifizieren (Urk. 2).</w:t>
      </w:r>
    </w:p>
    <w:p>
      <w:r>
        <w:t>2.2Â Â Â Â  DemgegenÃ¼ber macht die BeschwerdefÃ¼hrerin geltend, die IV-Stelle habe zu Unrecht eine StatusÃ¤nderung angenommen. Auch ohne Gesundheitsschaden wÃ¤re sie nach der Geburt des zweiten Kindes voll erwerbstÃ¤tig geblieben. Im Ã¼brigen habe die AbklÃ¤rungsperson der IV-Stelle die im Haushalt bestehende EinschrÃ¤nkung nicht korrekt ermittelt; bei richtiger Betrachtung wÃ¼rde diese sicherlich 70 % betragen. Entsprechend habe die BeschwerdefÃ¼hrerin in jedem Fall weiterhin Anspruch auf eine ganze Invalidenrente (Urk. 1).</w:t>
      </w:r>
    </w:p>
    <w:p>
      <w:r>
        <w:rPr>
          <w:b/>
        </w:rPr>
        <w:t>E. 3</w:t>
      </w:r>
    </w:p>
    <w:p>
      <w:r>
        <w:t>3.1Â Â Â Â  Der behandelnde Psychiater, Dr. C.___, hielt in seinem Verlaufsbericht vom 4. Mai 2010 fest, die Patientin leide seit ungefÃ¤hr 8 Jahren unter intensiven depressiven Symptomen und Angstsymptomen. Nachdem sie in ihrem Heimatland die Mittelschule absolviert habe, habe sie ihren jetzigen Mann geheiratet und sei in die Schweiz gezogen. Nachdem sie kÃ¼rzere Zeit im Gastgewerbe tÃ¤tig gewesen sei, habe sie ihre Arbeit aufgrund Ã¶fters auftretender Panikattacken aufgeben mÃ¼ssen. Seit 2004 befinde sie sich in seiner Behandlung. Trotz der durchgefÃ¼hrten Therapie mit Antidepressiva, Anxiolytika und kleinen Dosen Neuroleptika sowie psychotherapeutischen GesprÃ¤chen sei es zu keiner Besserung gekommen. Schon lange sei eine halbstationÃ¤re oder stationÃ¤re Therapie in Betracht gezogen worden. Die Patientin habe sich wegen der Kinder jedoch nicht damit anfreunden kÃ¶nnen. Die Patientin sei sehr niedergeschlagen, im Antrieb vermindert, habe starke Konzentrationsschwierigkeiten und sei rasch mÃ¼de. Sie fÃ¼rchte sich vor Kontakten mit Mitmenschen. Dr. C.___ attestierte sodann eine seit Behandlungsbeginn andauernde 100%ige ArbeitsunfÃ¤higkeit (Urk. 7/63).</w:t>
      </w:r>
    </w:p>
    <w:p>
      <w:r>
        <w:t>Â Â Â Â Â Â Â Â  Die Gutachterin Dr. E.___ diagnostizierte eine Agoraphobie mit PanikstÃ¶rung (F40.01), soziale Phobien (F40.1) sowie eine rezidivierende depressive StÃ¶rung, gegenwÃ¤rtig mittelgradige Episode (F33.1). Sie hielt dafÃ¼r, dass die Explorandin seit November 2003 in ihrer angestammten TÃ¤tigkeit im Gastgewerbe zu 100 % arbeitsunfÃ¤hig sei. Weiter fÃ¼hrte sie aus, grundsÃ¤tzlich bestehe fÃ¼r alle denkbaren und adaptierten TÃ¤tigkeiten ausser Haus eine vollstÃ¤ndige ArbeitsunfÃ¤higkeit. Da die Versicherte auch zuhause Ãngste habe, erscheine vor dem Hintergrund der depressiven Symptomatik mit Antriebsverminderung und Leistungseinbusse auch eine Heimarbeit nicht mÃ¶glich. Wegen des ungÃ¼nstigen Krankheitsverlaufs seien weder berufliche Massnahmen noch Reintegrationsmassnahmen zur Zeit denkbar (Urk. 7/67 S. 10-12).</w:t>
      </w:r>
    </w:p>
    <w:p>
      <w:r>
        <w:t>3.2Â Â Â Â  Weder der behandelnde Facharzt noch die Gutachterin Ã¤usserten sich zu allfÃ¤llig im Aufgabenbereich Haushalt bestehenden EinschrÃ¤nkungen. Da die BeschwerdefÃ¼hrerin im Wesentlichen an psychischen BeeintrÃ¤chtigungen leidet, kann die EinschrÃ¤nkung indes nicht ohne das Vorliegen einer fundierten Ã¤rztlichen Stellungnahme allein aufgrund der Feststellungen der AbklÃ¤rungsperson der IV-Stelle (Urk. 7/69) ermittelt werden (vgl. oben E. 1.6). Da nicht einmal der Regionale Ãrztliche Dienst der Invalidenversicherung (RAD) zu den Feststellungen der AbklÃ¤rungsperson Stellung genommen hat (vgl. FeststellungsblÃ¤tter, Urk. 7/71 und 7/80), beruht die angefochtene rentenherabsetzende VerfÃ¼gung auf unvollstÃ¤ndigen AbklÃ¤rungen. Sie ist deshalb aufzuheben und die Sache ist an die Verwaltung zur ergÃ¤nzenden Einholung einer Ã¤rztlichen Stellungnahme zur Frage der gesundheitsbedingten EinschrÃ¤nkung im Aufgabenbereich Haushalt zurÃ¼ckzuweisen. Dabei drÃ¤ngt sich eine ErgÃ¤nzung des Gutachtens durch Dr. E.___ auf.</w:t>
      </w:r>
    </w:p>
    <w:p>
      <w:r>
        <w:t>3.3Â Â Â Â  Bei dieser Sachlage kann die Frage, in welchem Umfang die BeschwerdefÃ¼hrerin ohne Gesundheitsschaden ausserhÃ¤uslich erwerbstÃ¤tig wÃ¤re, vorerst offenbleiben.</w:t>
      </w:r>
    </w:p>
    <w:p>
      <w:r>
        <w:t>4.Â Â Â Â Â Â  Die Kosten des Verfahrens sind auf Fr. 600.-- festzulegen und, da die RÃ¼ckweisung an die Verwaltung nach stÃ¤ndiger Rechtsprechung als vollstÃ¤ndiges Obsiegen gilt (vgl. etwa Urteil des damaligen EidgenÃ¶ssischen Versicherungsgerichts U 199/02 vom 10. Februar 2004 E. 6, mit Hinweis auf BGE 110 V 57 E. 3a; SVR 1999 IV Nr. 10 S. 28 E. 3), ausgangsgemÃ¤ss von der Beschwerdegegnerin zu tragen (Art. 69 Abs. 1 bis IVG).</w:t>
      </w:r>
    </w:p>
    <w:p>
      <w:r>
        <w:t>Â Â Â Â Â Â Â Â  Die durch einen Rechtsanwalt vertretene BeschwerdefÃ¼hrerin hat sodann ausgangsgemÃ¤ss gestÃ¼tzt auf Art. 61 lit. g ATSG in Verbindung mit Â§ 34 Abs. 1 und 3 des Gesetzes Ã¼ber das Sozialversicherungsgericht (GSVGer) Anspruch auf eine ProzessentschÃ¤digung. Diese ist unter BerÃ¼cksichtigung der Bedeutung der Streitsache und der Schwierigkeit des Prozesses auf Fr. 1'800.-- (inklusive Mehrwertsteuer und Barauslagen) festzusetzen.</w:t>
      </w:r>
    </w:p>
    <w:p>
      <w:r>
        <w:t>Das Gericht erkennt:</w:t>
      </w:r>
    </w:p>
    <w:p>
      <w:r>
        <w:t>1.Â Â Â Â Â Â Â Â  Die Beschwerde wird in dem Sinne gutgeheissen, dass die angefochtene VerfÃ¼gung vom 25. Juli 2011 aufgehoben und die Sache an die Sozialversicherungsanstalt des Kantons ZÃ¼rich, IV-Stelle, zurÃ¼ckgewiesen wird, damit sie im Sinne der ErwÃ¤gungen verfahre und hernach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Zustellung gegen Empfangsschein an:</w:t>
      </w:r>
    </w:p>
    <w:p>
      <w:r>
        <w:t>- Rechtsanwalt Dr. Peter F. Siegen</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