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IV.2011.00608 vom 28. September 2012</w:t>
      </w:r>
    </w:p>
    <w:p>
      <w:r>
        <w:t>ZH Sozialversicherungsgericht, 2012-09-28, DE</w:t>
      </w:r>
    </w:p>
    <w:p>
      <w:r>
        <w:rPr>
          <w:b/>
        </w:rPr>
        <w:t xml:space="preserve">Quelle: </w:t>
      </w:r>
      <w:r>
        <w:t>https://mcp.opencaselaw.ch/entscheid/zh_sozialversicherungsgericht_IV.2011.00608</w:t>
      </w:r>
    </w:p>
    <w:p>
      <w:r>
        <w:t>FR: ZH_SOZIALVERSICHERUNGSGERICHT IV.2011.00608 du 28 septembre 2012</w:t>
      </w:r>
    </w:p>
    <w:p>
      <w:r>
        <w:t>IT: ZH_SOZIALVERSICHERUNGSGERICHT IV.2011.00608 del 28 settembre 2012</w:t>
      </w:r>
    </w:p>
    <w:p>
      <w:pPr>
        <w:pStyle w:val="Heading2"/>
      </w:pPr>
      <w:r>
        <w:t>Erwägungen</w:t>
      </w:r>
    </w:p>
    <w:p>
      <w:r>
        <w:rPr>
          <w:b/>
        </w:rPr>
        <w:t>E. 4</w:t>
      </w:r>
    </w:p>
    <w:p>
      <w:r>
        <w:t>4.1Â Â Â Â  Eine umfassende PrÃ¼fung des Sachverhalts erfolgte letztmals mit dem den Einspracheentscheid vom 16. April 2007 betreffenden rechtskrÃ¤ftigen Urteil des Bundesgerichts 9C_899/2009 vom 26. MÃ¤rz 2010. Das Bundesgericht gelangte in ErwÃ¤gung 2.2 gestÃ¼tzt auf die Berichte des Hausarztes Dr. med. Z.___, Facharzt fÃ¼r Allgemeine Medizin, vom 8. Juli 2002 (Urk. 7/78) und vom 31. Oktober respektive 1. November 2005 (Urk. 7/135) sowie das neurologische Gutachten des A.___ vom 18. September 2006 (Urk. 7/166) zum Schluss, der BeschwerdefÃ¼hrer sei bis zum Erlass des letztinstanzlich zu Ã¼berprÃ¼fenden Einspracheentscheides vom 16. April 2007 in der bisherigen TÃ¤tigkeit zu mindestens 50 % arbeitsfÃ¤hig gewesen (Urk. 7/193 S. 5).</w:t>
      </w:r>
    </w:p>
    <w:p>
      <w:r>
        <w:t>Â Â Â Â Â Â Â Â  Dieser Sachverhalt bildet die Vergleichsbasis zur PrÃ¼fung der Frage, ob bei Erlass der angefochtenen VerfÃ¼gung eine wesentliche Ãnderung des Gesundheitszustandes eingetreten ist (vgl. die vorstehende ErwÃ¤gung 2.4). GestÃ¼tzt auf den Verlaufsbericht von Dr. Z.___ vom 11. MÃ¤rz 2010 (Urk. 7/192), den Bericht des aktuellen Hausarztes Dr. med. Y.___, Facharzt fÃ¼r Innere Medizin, vom 7. Juni 2010 (Urk. 7/194; vgl. auch Urk. 7/184) sowie die Beurteilung von Dr. med. B.___, Facharzt fÃ¼r Allgemeinmedizin vom Regionalen Ãrztlichen Dienst RAD, vom 6. Juli 2010 ist unbestritten, dass der BeschwerdefÃ¼hrer zufolge einer Verschlechterung seines Gesundheitszustandes (erstmalige Diagnose eines Diabetes mellitus im August 2008 [Urk. 7/192 S. 4]) bei Erlass der angefochtenen VerfÃ¼gung vom 3. Mai 2011 als Taxifahrer vollstÃ¤ndig arbeitsunfÃ¤hig war.</w:t>
      </w:r>
    </w:p>
    <w:p>
      <w:r>
        <w:t>4.2Â Â Â Â</w:t>
      </w:r>
    </w:p>
    <w:p>
      <w:r>
        <w:t>4.2.1Â Â  Strittig und zu prÃ¼fen bleiben die erwerblichen Auswirkungen der neu hinzugekommenen GesundheitsstÃ¶rungen auf dem allgemeinen Arbeitsmarkt in einer leidensangepassten VerweistÃ¤tigkeit.</w:t>
      </w:r>
    </w:p>
    <w:p>
      <w:r>
        <w:t>4.2.2Â Â  In seinem Bericht vom 10. MÃ¤rz 2010 verzichtete Dr. Z.___ auf eine Stellungnahme zur ArbeitsfÃ¤higkeit in einer leidensangepassten TÃ¤tigkeit (Urk. 7/192 S. 5 f.). Dr. Y.___ hielt im Bericht vom 7. Juni 2010 dagegen zwar fest, unter BerÃ¼cksichtigung der Diagnosen mit Auswirkung auf die ArbeitsfÃ¤higkeit (rezidivierende Exazerbationen eines multifaktoriell bedingten Schwindels bei Status nach multiplen Hirninfarkten, koronare Herzerkrankung, Diabetes mellitus Typ II, Dauerantikoagulation) wÃ¤re eine kÃ¶rperlich nicht belastende TÃ¤tigkeit, welche das selbstbestimmte Einschalten von Pausen erlaube, wohl zu 50 % mÃ¶glich (Urk. 7/194 S. 3). Allerdings schrÃ¤nkte er seine Angaben auf der nÃ¤chsten Seite des Berichts insofern ein, als er die DurchfÃ¼hrung eines Arbeitsassessments fÃ¼r die Festsetzung des funktionellen Belastbarkeitsprofils verlangte (Urk. 7/194 S. 4). Zudem hatte er in seinem Attest vom 17. Juni 2009 eine Begutachtung zur Beurteilung der ArbeitsfÃ¤higkeit in einer anderen als der bisherigen TÃ¤tigkeit noch als zwingend bezeichnet (Urk. 7/184 S. 3). Deshalb ist davon auszugehen, dass sich Dr. Y.___ bei der Beurteilung der medizinisch-theoretischen ArbeitsfÃ¤higkeit in einer behinderungsangepassten TÃ¤tigkeit nicht sicher war. Seine Beurteilung erfÃ¼llt damit die Anforderungen an eine beweiskrÃ¤ftige medizinische Entscheidungsgrundlage nicht (vorstehend ErwÃ¤gung 2.5).</w:t>
      </w:r>
    </w:p>
    <w:p>
      <w:r>
        <w:t>Â Â Â Â Â Â Â Â  Dr. B.___ vom RAD hielt in seiner internen Stellungnahme vom 6. Juli 2010 fest, der BeschwerdefÃ¼hrer kÃ¶nne keine berufsmÃ¤ssigen Personentransporte mehr durchfÃ¼hren, sei aber in einer leidensangepassten TÃ¤tigkeit zu 100 % arbeitsfÃ¤hig. Da Dr. B.___ den BeschwerdefÃ¼hrer vorgÃ¤ngig nicht persÃ¶nlich untersucht hatte und seine EinschÃ¤tzung nicht weiter begrÃ¼ndete (Urk. 7/196), erfÃ¼llt seine Stellungnahme die Anforderungen an eine beweiskrÃ¤ftige medizinische Entscheidungsgrundlage ebenfalls nicht.</w:t>
      </w:r>
    </w:p>
    <w:p>
      <w:r>
        <w:t>4.2.3Â Â  Mit Blick auf die Aktenlage ergibt sich, dass eine beweiskrÃ¤ftige Ã¤rztliche Beurteilung der ArbeitsfÃ¤higkeit des BeschwerdefÃ¼hrers in einer leidensangepassten TÃ¤tigkeit fehlt. Die IV-Stelle, an welche die Sache zurÃ¼ckzuweisen ist, wird angesichts des komplexen und vielschichtigen Beschwerdebildes, das insbesondere internistische, neurologische und psychiatrische Fragestellungen beinhaltet, ein entsprechendes interdisziplinÃ¤res Gutachten mit der Frage nach Art (zumutbares Belastungsprofil) und Umfang der ArbeitsfÃ¤higkeit in einer behinderungsangepassten TÃ¤tigkeit einzuholen haben. Hernach wird sie neu Ã¼ber den Rentenanspruch des BeschwerdefÃ¼hrers aufgrund der Neuanmeldung vom 13. November 2009 zu verfÃ¼gen haben. In diesem Sinne ist die Beschwerde gutzuheissen.</w:t>
      </w:r>
    </w:p>
    <w:p>
      <w:r>
        <w:t>5.Â Â Â Â Â Â</w:t>
      </w:r>
    </w:p>
    <w:p>
      <w:r>
        <w:t>5.1Â Â Â Â  AusgangsgemÃ¤ss gehen die Verfahrenskosten von Fr. 700.-- zulasten der unterliegenden IV-Stelle (Art. 69 Abs. 1 bis IVG).</w:t>
      </w:r>
    </w:p>
    <w:p>
      <w:r>
        <w:t>5.2Â Â Â Â  Die ParteientschÃ¤digung ist gemÃ¤ss Art. 61 lit. g ATSG in Verbindung mit Â§ 34 des Gesetzes Ã¼ber das Sozialversicherungsgericht vom Gericht ohne RÃ¼cksicht auf den Streitwert nach der Bedeutung der Streitsache und nach der Schwierigkeit des Prozesses zu bemessen. Unter BerÃ¼cksichtigung dieser UmstÃ¤nde ist dem obsiegenden BeschwerdefÃ¼hrer eine ParteientschÃ¤digung von Fr. 2'200.-- (inkl. Barauslagen und MWSt) zuzusprechen.</w:t>
      </w:r>
    </w:p>
    <w:p>
      <w:r>
        <w:t>Das Gericht erkennt:</w:t>
      </w:r>
    </w:p>
    <w:p>
      <w:r>
        <w:t>1.Â Â Â Â Â Â Â Â  Die Beschwerde wird in dem Sinne gutgeheissen, dass die angefochtene VerfÃ¼gung vom 3. Mai 2011 aufgehoben und die Sache an die Sozialversicherungsanstalt des Kantons ZÃ¼rich, IV-Stelle, zurÃ¼ckgewiesen wird, damit diese, nach erfolgter AbklÃ¤rung im Sinne der ErwÃ¤gungen, neu Ã¼ber den Rentenanspruch verfÃ¼ge.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2'200.-- (inkl. Barauslagen und MWSt) zu bezahlen.</w:t>
      </w:r>
    </w:p>
    <w:p>
      <w:r>
        <w:t>4.Â Â Â Â Â Â Â Â  Zustellung gegen Empfangsschein an:</w:t>
      </w:r>
    </w:p>
    <w:p>
      <w:r>
        <w:t>- Rechtsanwalt Hadrian Meister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