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IV.2011.00559 vom 17. Juli 2012</w:t>
      </w:r>
    </w:p>
    <w:p>
      <w:r>
        <w:t>ZH Sozialversicherungsgericht, 2012-07-17, DE</w:t>
      </w:r>
    </w:p>
    <w:p>
      <w:r>
        <w:rPr>
          <w:b/>
        </w:rPr>
        <w:t xml:space="preserve">Quelle: </w:t>
      </w:r>
      <w:r>
        <w:t>https://mcp.opencaselaw.ch/entscheid/zh_sozialversicherungsgericht_IV.2011.00559</w:t>
      </w:r>
    </w:p>
    <w:p>
      <w:r>
        <w:t>FR: ZH_SOZIALVERSICHERUNGSGERICHT IV.2011.00559 du 17 juillet 2012</w:t>
      </w:r>
    </w:p>
    <w:p>
      <w:r>
        <w:t>IT: ZH_SOZIALVERSICHERUNGSGERICHT IV.2011.00559 del 17 luglio 2012</w:t>
      </w:r>
    </w:p>
    <w:p>
      <w:pPr>
        <w:pStyle w:val="Heading2"/>
      </w:pPr>
      <w:r>
        <w:t>Erwägungen</w:t>
      </w:r>
    </w:p>
    <w:p>
      <w:r>
        <w:rPr>
          <w:b/>
        </w:rPr>
        <w:t>E. 3</w:t>
      </w:r>
    </w:p>
    <w:p>
      <w:r>
        <w:t>3.1Â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Das Valideneinkommen im Jahr 2010 blieb mit Fr. 233'612.-- unbestritten (Urk. 2/2 VerfÃ¼gungsteil 2 S. 2, Urk. 1 S. 3 Ziff. 3).</w:t>
      </w:r>
    </w:p>
    <w:p>
      <w:r>
        <w:t>Basierend auf den Angaben der Arbeitgeberin (letzter Lohn im Jahr 2008 von Fr. 224'101.--, Urk. 7/7 Ziff. 2.12) ergibt sich unter Aufrechnung der Nominallohnentwicklung bis zum Jahr 2010 von 2.77 % (von Indexstand 2092 auf Indexstand 2150, die Volkswirtschaft 6-2012 S. 95 Tabelle B 10.3, MÃ¤nner) indes ein leicht tieferes Valideneinkommen von Fr. 230'309.--.</w:t>
      </w:r>
    </w:p>
    <w:p>
      <w:r>
        <w:t>3.2Â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Â Â Â Â Â Â Â Â  Auch das aufgrund des Durchschnittswertes der Anforderungsniveaus 1-3 in der Kredit- und Versicherungsbranche unter BerÃ¼cksichtigung des zumutbaren 65 %-Pensums und der Nominallohnentwicklung ermittelte Invalideneinkommen von Fr. 81'693.-- im Jahr 2010 blieb unbestritten (vgl. Urk. 1 S. 5 Ziff. 5).</w:t>
      </w:r>
    </w:p>
    <w:p>
      <w:r>
        <w:t>Â Â Â Â Â Â Â Â  Der Durchschnitt der Lohnniveaus 1+2 (Fr. 12'285.--) sowie 3 (Fr. 7'809.--, LSE 2008 TA1 Ziff. 67) ergibt einen Wert von Fr. 10'047.-- und unter BerÃ¼cksichtigung der durchschnittlichen Arbeitszeit von 41.3 Stunden pro Woche (Die Volkswirtschaft 6-2012 S. 94 Tabelle B 9.2, K) sowie der Nominallohnentwicklung von 2.77 % einen solchen von Fr. 127'930.--. Da der BeschwerdefÃ¼hrer im Umfang von 65 % leistungsfÃ¤hig ist, ergibt sich ein Invalideneinkommen von Fr. 83'155.--.</w:t>
      </w:r>
    </w:p>
    <w:p>
      <w:r>
        <w:t>3.3Â Â Â Â</w:t>
      </w:r>
    </w:p>
    <w:p>
      <w:r>
        <w:t>3.3.1Â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3.3.2Â Â  Der BeschwerdefÃ¼hrer machte in seiner Beschwerde geltend, es sei ihm ein Abzug von 15 % zu gewÃ¤hren, weil seine 65%ige ArbeitsfÃ¤higkeit bei voller StundenprÃ¤senz eine schlechte Auslastung des Arbeitsplatzes zur Folge habe, was eine wesentliche Benachteiligung im Vergleich zu gesunden Arbeitnehmern bedeute. Des Weiteren stÃ¼nden in seiner Branche Ã¼berwiegend sitzende TÃ¤tigkeiten im Vordergrund. Somit bestehe auch in kÃ¶rperlicher Hinsicht eine klar eingeschrÃ¤nkte Stellenauswahl, was sich ebenfalls lohnmÃ¤ssig negativ auswirke. Aufgrund dieser ausgewiesenen Nachteile im Vergleich zu gesunden Arbeitnehmern sei zwingend ein Abzug auf dem anhand der DurchschnittslÃ¶hne gemÃ¤ss LSE ermittelten hypothetischen Einkommen vorzunehmen, so wie dies im Vorbescheid getan worden sei. Ein Abzug von 15 % sei angemessen (Urk. 1 S. 5 f. Ziff. 6-7).</w:t>
      </w:r>
    </w:p>
    <w:p>
      <w:r>
        <w:t>3.3.3Â Â  Der Abzug vom Tabellenlohn soll im konkreten Fall anzunehmenden lohnmindernden UmstÃ¤nden Rechnung tragen. Ob solche UmstÃ¤nde gegeben sind und inwieweit sie sich lohnmindernd auswirken, prÃ¼ft die Rechtsanwendung im Rahmen der BeweiswÃ¼rdigung.</w:t>
      </w:r>
    </w:p>
    <w:p>
      <w:r>
        <w:t>Â Â Â Â Â Â Â Â  Beim BeschwerdefÃ¼hrer fÃ¤llt vorweg seine bloss noch teilzeitliche LeistungsfÃ¤higkeit ins Gewicht, welche bei MÃ¤nnern zuweilen zu einem verminderten Lohnniveau fÃ¼hren kann (statt vieler: Urteil des Bundesgerichts 8C_664/2007 vom 14. April 2008 E. 8.3). Das Bundesgericht lehnt es in seiner Praxis jedoch ab, bei vollzeitlich arbeitsfÃ¤higen Versicherten mit verminderter LeistungsfÃ¤higkeit einen Tabellenlohnabzug zu gewÃ¤hren (Urteil I 69/07 vom 2. November 2007 E. 5.1, zuletzt bestÃ¤tigt mit Urteil 8C_585/2011 vom 5. April 2012 E. 3.3). Damit fÃ¤llt ein Tabellenlohnabzug aufgrund der eingeschrÃ¤nkten LeistungsfÃ¤higkeit im Vollzeitpensum ausser Betracht. In dem vom BeschwerdefÃ¼hrer zitierten (Urk. 1 S. 5 Ziff. 6) Urteil 9C_728/2009 vom 21. September 2010 E. 4.3.2 deutete das Bundesgericht lediglich die MÃ¶glichkeit einer entsprechenden Anpassung der Rechtsprechung an, liess die Frage jedoch offen. Dass der BeschwerdefÃ¼hrer wegen seiner bloss 65%igen LeistungsfÃ¤higkeit effektiv mit einem geringeren Lohn rechnen mÃ¼sste, ist jedenfalls nicht erstellt. Denn die Mehrkosten reduzieren sich fÃ¼r einen Arbeitgeber im Wesentlichen auf die Kosten des Arbeitsplatzes des BeschwerdefÃ¼hrers im Rahmen der 35 % fehlenden Auslastung. Dass ein Arbeitgeber dies - in Bezug auf den im BÃ¼ro tÃ¤tigen BeschwerdefÃ¼hrers - derart kalkuliert und in die Lohnverhandlungen einfliessen lÃ¤sst, ist nicht Ã¼berwiegend wahrscheinlich.</w:t>
      </w:r>
    </w:p>
    <w:p>
      <w:r>
        <w:t>Â Â Â Â Â Â Â Â  Ins Gewicht fÃ¤llt in diesem Zusammenhang sodann, dass dem BeschwerdefÃ¼hrer als hochqualifiziertem Arbeitnehmer aufgrund des Umstandes, dass er auf eine wechselbelastende TÃ¤tigkeit angewiesen ist, eher keine hÃ¶chsten Kaderpositionen mehr angeboten werden dÃ¼rften. Aus diesem Grund wurde auch nicht auf die Ã¤rztliche Attestierung einer 50%igen ArbeitsfÃ¤higkeit ab Juli 2010 im angestammten Beruf (Urk. 7/30 S. 18 Ziff. 8.1) abgestellt, was (mittels Prozentvergleichs) zu einem InvaliditÃ¤tsgrad von 50 % und damit einem Anspruch auf lediglich eine halbe Rente ab Oktober 2010 gefÃ¼hrt hÃ¤tte. Aus demselben Grund wurde zur Berechnung des Invalideneinkommens auf die Niveaus 1-3 abgestellt. Seine LeistungsfÃ¤higkeit liegt aber nach wie vor im hÃ¶chsten Bereich. Denn in der Branche des BeschwerdefÃ¼hrers steht primÃ¤r seine geistige Leistung - bei der keine EinschrÃ¤nkungen bestehen - im Vordergrund und nicht seine kÃ¶rperliche. In diesem Sinne stellt der BeschwerdefÃ¼hrer fÃ¼r einen potentiellen Arbeitgeber eine hochkarÃ¤tige Fachkraft dar, die Leistungen im Niveau 1-2 erbringt, der aber ein geringerer Lohn zu zahlen ist.</w:t>
      </w:r>
    </w:p>
    <w:p>
      <w:r>
        <w:t>Â Â Â Â Â Â Â Â  Der vom BeschwerdefÃ¼hrer weiter thematisierte Umstand, dass in seiner Branche vorwiegend sitzende TÃ¤tigkeiten im Vordergrund stÃ¼nden (Urk. 1 S. 6 Ziff. 7), ist wohl zutreffend, doch rechtfertigt dies keinen Abzug vom Tabellenlohn: Einerseits dÃ¼rfte es dem BeschwerdefÃ¼hrer (im Sinne der Schadenminderungspflicht) mÃ¶glich sein, mit einem Stehpult fÃ¼r die notwendige Wechselhaltung zu sorgen. Anderseits ist zu beachten, dass der BeschwerdefÃ¼hrer ja gerade im Intellekt seine StÃ¤rken hat und in diesem Bereich ganz andere MÃ¶glichkeiten zur Wechselhaltung bestehen als beispielsweise bei Fabrikarbeitern oder BÃ¼roangestellten mit reinen (Computer-) Erfassungsaufgaben.</w:t>
      </w:r>
    </w:p>
    <w:p>
      <w:r>
        <w:t>3.4Â Â Â Â  Mit dem Abstellen auf die Lohnniveaus 1-3 wurde dem verminderten Leistungsniveau nach dem Gesagten ausreichend Rechnung getragen, weshalb sich kein Abzug vom Tabellenlohn rechtfertigt.</w:t>
      </w:r>
    </w:p>
    <w:p>
      <w:r>
        <w:t>Â Â Â Â Â Â Â Â  Damit besteht beim BeschwerdefÃ¼hrer ab Juli 2010 bei einem Valideneinkommen von Fr. 230'309.-- und einem Invalideneinkommen von Fr. 83'155.-- ein InvaliditÃ¤tsgrad von 63.9 %, bei welchem Ergebnis ihm ab Oktober 2010 nurmehr eine Dreiviertelsrente der Invalidenversicherung zusteht.</w:t>
      </w:r>
    </w:p>
    <w:p>
      <w:r>
        <w:t>Â Â Â Â Â Â Â Â  Die angefochtene VerfÃ¼gung erweist sich somit als rechtens, was zur Abweisung der Beschwerde fÃ¼hrt.</w:t>
      </w:r>
    </w:p>
    <w:p>
      <w:r>
        <w:t>4.Â Â Â Â Â Â  Da es im vorliegenden Fall um die Bewilligung oder Verweigerung von IV-Leistungen geht, ist das Verfahren kostenpflichtig. Die Gerichtskosten sind nach dem Verfahrensaufwand und unabhÃ¤ngig vom Streitwert festzulegen (Art. 69 Abs. 1 bis IVG) und auf Fr. 700.--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