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IV.2011.00460 vom 14. August 2012</w:t>
      </w:r>
    </w:p>
    <w:p>
      <w:r>
        <w:t>ZH Sozialversicherungsgericht, 2012-08-14, DE</w:t>
      </w:r>
    </w:p>
    <w:p>
      <w:r>
        <w:rPr>
          <w:b/>
        </w:rPr>
        <w:t xml:space="preserve">Quelle: </w:t>
      </w:r>
      <w:r>
        <w:t>https://mcp.opencaselaw.ch/entscheid/zh_sozialversicherungsgericht_IV.2011.00460</w:t>
      </w:r>
    </w:p>
    <w:p>
      <w:r>
        <w:t>FR: ZH_SOZIALVERSICHERUNGSGERICHT IV.2011.00460 du 14 août 2012</w:t>
      </w:r>
    </w:p>
    <w:p>
      <w:r>
        <w:t>IT: ZH_SOZIALVERSICHERUNGSGERICHT IV.2011.00460 del 14 agosto 2012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Bundesgericht Beschwerde eingereicht werden (Art. 82 ff. in Verbindung mit Art. 90 ff. des Bundesgesetzes Ã¼ber das Bundesgericht, BGG). Die Frist steht wÃ¤hrend folgender Zeiten still: vom siebten Tag vor B.___ern bis und mit dem siebten Tag nach B.___ern, vom 15. Juli bis und mit 15. August sowie vom 18. Dezember bis und mit dem 2. Januar (Art. 46 BGG).</w:t>
      </w:r>
    </w:p>
    <w:p>
      <w:r>
        <w:t>Â Â Â Â Â Â Â Â Â Â  Die Beschwerdeschrift ist dem Bundesgericht, Schweizerhofquai 6, 6004 Luzern, zuzustellen.</w:t>
      </w:r>
    </w:p>
    <w:p>
      <w:r>
        <w:t>Â Â Â Â Â Â Â Â Â Â  Die Beschwerdeschrift hat die Begehren, deren BegrÃ¼ndung mit Angabe der Beweismittel und die Unterschrift des BeschwerdefÃ¼hrers oder seines Vertreters zu enthalten; der angefochtene Entscheid sowie die als Beweismittel angerufenen Urkunden sind beizulegen, soweit die Partei sie in HÃ¤nden hat (Art. 42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