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IV.2011.00422 vom 27. November 2012</w:t>
      </w:r>
    </w:p>
    <w:p>
      <w:r>
        <w:t>ZH Sozialversicherungsgericht, 2012-11-27, DE</w:t>
      </w:r>
    </w:p>
    <w:p>
      <w:r>
        <w:rPr>
          <w:b/>
        </w:rPr>
        <w:t xml:space="preserve">Quelle: </w:t>
      </w:r>
      <w:r>
        <w:t>https://mcp.opencaselaw.ch/entscheid/zh_sozialversicherungsgericht_IV.2011.00422</w:t>
      </w:r>
    </w:p>
    <w:p>
      <w:r>
        <w:t>FR: ZH_SOZIALVERSICHERUNGSGERICHT IV.2011.00422 du 27 novembre 2012</w:t>
      </w:r>
    </w:p>
    <w:p>
      <w:r>
        <w:t>IT: ZH_SOZIALVERSICHERUNGSGERICHT IV.2011.00422 del 27 novembre 2012</w:t>
      </w:r>
    </w:p>
    <w:p>
      <w:pPr>
        <w:pStyle w:val="Heading2"/>
      </w:pPr>
      <w:r>
        <w:t>Erwägungen</w:t>
      </w:r>
    </w:p>
    <w:p>
      <w:r>
        <w:rPr>
          <w:b/>
        </w:rPr>
        <w:t>E. 4</w:t>
      </w:r>
    </w:p>
    <w:p>
      <w:r>
        <w:t>4.1Â Â Â Â  Aus den vorliegenden medizinischen Berichten ist ersichtlich, dass verglichen mit der medizinischen Situation, wie sie der Rentenzusprache im Jahr 2009 zugrunde lag, von einem im Wesentlichen unverÃ¤nderten Gesundheitszustand auszugehen ist; dabei stehen nach Lage der Akten sowie mit Blick auf die von den Ãrzten empfohlenen Massnahmen vor allem die psychischen Schwierigkeiten im Vordergrund. Von letzterem ging die IV-Stelle bereits bei der Rentenzusprache aus, weshalb sie dem Versicherten mit Schreiben vom 6. Januar 2009 unter Hinweis auf die ihm obliegende Schadensminderungspflicht die Aufnahme einer psychopharmakologischen und psychiatrischen Behandlung auferlegt hatte. Zu prÃ¼fen ist daher, ob die IV-Stelle - trotz im Wesentlichen gleich gebliebenen Gesundheitszustandes - die bisher ausgerichtete ganze Rente zu Recht unter Hinweis auf die nicht umgesetzte Schadensminderungspflicht im Sinne von Art. 21 Abs. 4 ATSG auf eine halbe Rente herabgesetzt hat. Aus den Akten ergibt sich dabei und ist unstreitig, dass der Versicherte die ihm mit Schreiben vom 6. Januar 2009 auferlegte medizinische Behandlung tatsÃ¤chlich nicht durchgefÃ¼hrt hat (sondern nur einmal bei einem Psychiater war, die Behandlung indes nicht fortgesetzt hat; vgl. Urk. 8/68 S. 2 und Urk. 8/69 S. 2).</w:t>
      </w:r>
    </w:p>
    <w:p>
      <w:r>
        <w:t>4.2Â Â Â Â  Soweit der Versicherte eine ihm vorwerfbare Verletzung der Schadensminderungspflicht bestreitet und dazu vorbringen lÃ¤sst, er habe die AusfÃ¼hrungen im Schreiben vom 6. Januar 2009 weder sprachlich noch intellektuell im Ansatz verstanden und seine BeistÃ¤ndin habe nichts unternommen (Urk. 1 S. 5), vermag er daraus nichts zu seinen Gunsten abzuleiten. Denn selbst wenn dem - nur verbeistÃ¤ndeten, nicht bevormundeten und nach Lage der Akten urteilsfÃ¤higen - Versicherten diese AusfÃ¼hrungen aufgrund sprachlicher oder inhaltlicher Unklarheiten nicht verstÃ¤ndlich gewesen sein sollten, so war es ihm jedenfalls zumutbar, sich bei der Verwaltung, seiner BeistÃ¤ndin oder sonstwie qualifizierten Person nach der Bedeutung des Schreibens zu erkundigen (vgl. Urteil des Bundesgerichts vom 14. Januar 2007, 8C_128/2007 E. 3.3). Daher und da sich die Obliegenheit zur Schadensminderung direkt an den Versicherten selbst richtet (vgl. statt vieler: Urteil des Bundesgerichts vom 22. Dezember 2009, 9C_686/2009, E. 3 in fine), Ã¤nderte im Ergebnis auch nichts, wenn die (damalige) BeistÃ¤ndin, welcher eine Kopie des Schreibens zuging, den Versicherten nicht von sich aus auf die Bedeutung der fraglichen Massnahme aufmerksam machte. Ebensowenig Ã¼berzeugt sodann das Vorbringen, wonach das Mahn- und Bedenkzeitverfahren formell nicht korrekt durchgefÃ¼hrt worden sei, namentlich dem Versicherten keine Frist gesetzt worden sei (Urk. 1 S. 5). Denn vielmehr enthielt das Schreiben vom 6. Januar 2009 unter Hinweis auf Art. 21 Abs. 4 ATSG die Auflage, sich Âab sofort wÃ¤hrend mindestens eines JahresÂ in die Behandlung zu begeben, was mit amtlicher Revision per 2010 geprÃ¼ft wÃ¼rde, wobei dem Versicherten gleichzeitig die Folgen einer allfÃ¤lligen Widersetzlichkeit klar dargelegt wurden (Urk. 8/41 S. 2). Dem Versicherten wurde somit nicht nur ein klarer Zeitraum fÃ¼r die verlangte medizinische Massnahme gesetzt; nachdem die Verletzung der Schadensminderungspflicht letztlich erst mit VerfÃ¼gung vom 28. MÃ¤rz 2011 sanktioniert wurde, stand dem BeschwerdefÃ¼hrer zudem mehr als die (ursprÃ¼nglich bis Ende Januar 2010) angesetzte Zeitspanne zur VerfÃ¼gung, um die von ihm erwarteten Massnahmen in die Wege zu leiten oder der Verwaltung darzulegen, weshalb solche im anberaumten Zeitraum allenfalls nicht mÃ¶glich sein sollten. Entgegen den Vorbringen in der Beschwerde war die vom Versicherten geforderte Massnahme (Âpsychiatrische und psychopharmakologische BehandlungÂ) schliesslich auch hinreichend substantiiert; dass nÃ¤mlich sÃ¤mtliche im Gutachten von Dr. Z.___ vorgeschlagenen Behandlungsschritte im Einzelnen hÃ¤tten aufgefÃ¼hrt mÃ¼ssen, wie dies beschwerdeweise gerÃ¼gt wird (Urk. 1 S. 6), kann nicht Voraussetzung sein, ergab sich doch aus dem Schreiben vom 6. Januar 2009 hinreichend klar, dass sich der Versicherte - was fÃ¼r ihn allein entscheidend war - in fachÃ¤rztlich-psychiatrische Behandlung zu begeben hatte. Dies gilt um so mehr, als es nicht Sache der Verwaltung sein kann, dem kÃ¼nftig behandelnden Facharzt auf dem Wege des (an den Versicherten gerichteten) Mahn- und Bedenkzeitverfahrens die Art der Therapie Schritt fÃ¼r Schritt vorzuschreiben. VermÃ¶gen aber die beschwerdeweisen Vorbringen insgesamt nicht zu Ã¼berzeugen, ist mit der Verwaltung vielmehr dafÃ¼r zu halten, dass der Versicherte trotz Hinweis auf die ihm obliegende Schadensminderungspflicht nicht aus eigenem Antrieb das Zumutbare zur DurchfÃ¼hrung der angeordneten medizinischen Massnahme beigetragen hat, weshalb ihm mangels Anhandnahme schadensmindernder Vorkehren ein zu sanktionierendes Verhalten vorzuwerfen ist.</w:t>
      </w:r>
    </w:p>
    <w:p>
      <w:r>
        <w:t>Â Â Â Â Â Â Â Â  Was die weiteren Tatbestandsmerkmale von Art. 21 Abs. 4 ATSG betrifft (vgl. E. 1.7 hievor) hat der BeschwerdefÃ¼hrer zu Recht nicht bestritten und ist nicht ersichtlich, inwiefern ihm eine psychiatrische und psychopharmakologische Behandlung nicht zumutbar sein sollte. Sodann ist aus den vorliegenden medizinischen Akten weiter ersichtlich, dass die dem Versicherten auferlegte Massnahme geeignet wÃ¤re, die ErwerbsfÃ¤higkeit erheblich zu verbessern. So hielt der psychiatrische Experte Dr. Z.___ aus fachÃ¤rztlicher Sicht in seinem Gutachten dafÃ¼r, dass nach DurchfÃ¼hrung einer adÃ¤quaten und stÃ¶rungsspezifischen Behandlung eine ausreichende Symptomreduktion mÃ¶glich und am Ende des gesamten, im Zeitraum eines Jahres realisierbaren Rehabilitationsprozesses eine ArbeitsfÃ¤higkeit von 50 % bis 70 % erreichbar sein sollte (Urk. 8/34 S. 18). Im Ãbrigen empfahl auch Hausarzt Dr. B.___ unter anderem die DurchfÃ¼hrung einer Âantidepressiven TherapieÂ (Urk. 8/69 S. 2). Da schliesslich das Ausmass der strittigen RentenkÃ¼rzung in medizinischer Hinsicht auf der Annahme einer 50%igen ArbeitsfÃ¤higkeit basiert und mithin der Prognose von Dr. Z.___ angemessen Rechnung trÃ¤gt beziehungsweise dieser (zugunsten des Versicherten auf den niedrigsten ArbeitsfÃ¤higkeitswert abstellend) entspricht, ist auch die VerhÃ¤ltnismÃ¤ssigkeit gewahrt. Damit ist aber nicht zu beanstanden, dass die Verwaltung infolge Verletzung der Schadenminderungspflicht androhungsgemÃ¤ss gestÃ¼tzt auf die medizinischen Akten, namentlich das Gutachten von Dr. Z.___, generell von einer - unter den gegebenen UmstÃ¤nden hypothetischen - EinschÃ¤tzung einer 50%igen ArbeitsfÃ¤higkeit ausging. Letztlich ist ebenfalls nicht zu beanstanden, dass die Herabsetzung unbefristet verfÃ¼gt worden ist, trifft doch nach dem oben AusgefÃ¼hrten entgegen der in der Beschwerde vertretenen Auffassung nicht zu, dass den Versicherten an der Verletzung der ihm obliegenden Schadenminderungspflicht kein Verschulden trifft.</w:t>
      </w:r>
    </w:p>
    <w:p>
      <w:r>
        <w:t>5.Â Â Â Â Â Â  In erwerblicher Hinsicht wurde der von der Verwaltung vorgenommene Einkommensvergleich nicht in Frage gestellt. Da der ungelernte Versicherte seit jeher verschiedene HilfsarbeitertÃ¤tigkeiten ausgeÃ¼bt und zuletzt - neben dem Bezug von Taggeldern der Arbeitslosenversicherung - wÃ¤hrend knapp eines Jahres eine (nach Lage der Akten allerdings unrentable) selbstÃ¤ndige ErwerbstÃ¤tigkeit als Betreiber eines Restaurants ausgeÃ¼bt hatte (Urk. 8/8 und Urk. 8/15), erscheint es gerechtfertigt, sowohl das Validen- als auch das Invalideneinkommen anhand statistischer Durchschnittswerte zu ermitteln, so dass ein Prozentvergleich erfolgen kann. Ob sich dabei entsprechend den AusfÃ¼hrungen der Beschwerdegegnerin in der angefochtenen VerfÃ¼gung zusÃ¤tzlich ein Abzug von 10 % vom Invalideneinkommen rechtfertigt, kann offenbleiben, da jedenfalls ein IV-Grad von 50 % und damit so oder anders der Anspruch auf eine halbe Rente resultiert.</w:t>
      </w:r>
    </w:p>
    <w:p>
      <w:r>
        <w:t>Â Â Â Â Â Â Â Â  Da schliesslich auch der Zeitpunkt der Herabsetzung der ganzen auf eine halbe Invalidenrente per Mai 2011 in Ãbereinstimmung mit den rechtlichen Bestimmungen steht (Art. 88bis Abs. 2 Bst. a IVV), fÃ¼hrt dies insgesamt zur BestÃ¤tigung der angefochtenen VerfÃ¼gung sowie zur Abweisung der Beschwerde.</w:t>
      </w:r>
    </w:p>
    <w:p>
      <w:r>
        <w:t>6.Â Â Â Â Â Â  Anzumerken bleibt, dass sich - was allerdings beschwerdeweise nicht nÃ¤her belegt worden ist - der Versicherte nach Ergehen der VerfÃ¼gung (ÂheuteÂ, vgl. Urk. 1 S. 8; im Rahmen des Einwandes wurde noch nichts Entsprechendes geltend gemacht; vgl. Urk. 8/81) und somit ausserhalb des fÃ¼r das Sozialversicherungsgericht massgeblichen Beurteilungszeitraums (BGE 130 V 445 E.1.2 mit Hinweisen) in Behandlung begeben haben soll. Es ist dem Versicherten daher unbenommen, sollte er tatsÃ¤chlich eine adÃ¤quate Behandlung aufgenommen haben, sich mit diesem Vorbringen an die Verwaltung zu wenden, welche diesfalls zu prÃ¼fen haben wird, ob die angegebene Behandlung der getroffenen Anordnung entspricht und allenfalls zur Aufhebung der KÃ¼rzung fÃ¼hren kÃ¶nnte (vgl. dazu auch Urteil des Bundesgerichts vom 13. MÃ¤rz 2007, I 824/06, E. 3.3.3, und vom 14. Januar 2008, 8C_128/2007, E.3.5.2).</w:t>
      </w:r>
    </w:p>
    <w:p>
      <w:r>
        <w:t>7.Â Â Â Â Â Â  Â Â Â Â Â Â Â Â Â Â Â Â Â Â Â Â Â Â Â Â Â Â Â Â Â Â Â Â Â Â Â Â Â Â Â Â Â Â Â Â Â Â Â Â Â Â Â Â Â Â Â Â Â Â Â Â Â Â</w:t>
      </w:r>
    </w:p>
    <w:p>
      <w:r>
        <w:t>7.1Â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dem BeschwerdefÃ¼hrer aufzuerlegen, infolge Bewilligung der unentgeltlichen ProzessfÃ¼hrung (vgl. Urk. 9) jedoch einstweilen auf die Gerichtskasse zu nehmen.</w:t>
      </w:r>
    </w:p>
    <w:p>
      <w:r>
        <w:t>7.2Â Â Â Â  Der unentgeltliche Rechtsvertreter des BeschwerdefÃ¼hrers Rechtsanwalt Hans StÃ¼nzi (vgl. wiederum Urk. 9) machte mit Kostennote vom 22. November 2012 (Urk. 11) einen Aufwand von 17.8 Stunden sowie interne Auslagen in HÃ¶he von Fr. 132.20 fÃ¼r das vorliegende Verfahren geltend. Dieser Aufwand erscheint der Bedeutung der Streitsache und der Schwierigkeit des Prozesses nicht nur unangemessen; insbesondere geht aus der detaillierten LeistungsÃ¼bersicht hervor, dass darin Aufwendungen mitberÃ¼cksichtigt sind, die offensichtlich nicht im Zusammenhang mit dem vorliegenden Beschwerdeverfahren stehen, namentlich Aufwendungen im Zusammenhang mit dem im Verwaltungsverfahren eingereichten Einwand sowie verschiedene Aufwendungen im Zusammenhang mit der C.___ (vgl. Urk. 11). Bei ausschliesslicher BerÃ¼cksichtigung der Positionen, die im Zusammenhang mit dem vorliegenden Beschwerdeverfahren aufgefÃ¼hrt sind, einschliesslich einer zugebilligten Stunde fÃ¼r das Urteilsstudium, ist von einem zu entschÃ¤digenden zeitlichen Aufwand von 8,33 Stunden auszugehen, was auch angemessen erscheint. Bei Anwendung des gerichtsÃ¼blichen Stundenansatzes von Fr. 200.-- (zuzÃ¼glich Mehrwertsteuer von 8 %) ergibt dies einen Aufwand von Fr. 1Â799.30. Alsdann betragen die im Zusammenhang mit dem vorliegenden Beschwerdeverfahren geltend gemachten Auslagen fÃ¼r Fotokopien und Porti Fr. 66.40, was zuzÃ¼glich Mehrwertsteuer Fr. 71.70 ergibt. Somit ist die EntschÃ¤digung auf insgesamt Fr. 1Â871.-- festzusetzen.</w:t>
      </w:r>
    </w:p>
    <w:p>
      <w:r>
        <w:t>Â Â Â Â Â Â Â Â</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Hans StÃ¼nzi, Horgen, wird mit Fr. 1Â871.-- (inkl. Barauslagen und MWSt) aus der Gerichtskasse entschÃ¤digt. Der BeschwerdefÃ¼hrer wird auf Â§ 16 Abs. 4 GSVGer hingewiesen.</w:t>
      </w:r>
    </w:p>
    <w:p>
      <w:r>
        <w:t>4.Â Â Â Â Â Â Â Â  Zustellung gegen Empfangsschein an:</w:t>
      </w:r>
    </w:p>
    <w:p>
      <w:r>
        <w:t>- Rechtsanwalt Hans StÃ¼nzi</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