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IV.2011.00375 vom 21. April 2011</w:t>
      </w:r>
    </w:p>
    <w:p>
      <w:r>
        <w:t>ZH Sozialversicherungsgericht, 2011-04-21, DE</w:t>
      </w:r>
    </w:p>
    <w:p>
      <w:r>
        <w:rPr>
          <w:b/>
        </w:rPr>
        <w:t xml:space="preserve">Quelle: </w:t>
      </w:r>
      <w:r>
        <w:t>https://mcp.opencaselaw.ch/entscheid/zh_sozialversicherungsgericht_IV.2011.00375</w:t>
      </w:r>
    </w:p>
    <w:p>
      <w:r>
        <w:t>FR: ZH_SOZIALVERSICHERUNGSGERICHT IV.2011.00375 du 21 avril 2011</w:t>
      </w:r>
    </w:p>
    <w:p>
      <w:r>
        <w:t>IT: ZH_SOZIALVERSICHERUNGSGERICHT IV.2011.00375 del 21 aprile 2011</w:t>
      </w:r>
    </w:p>
    <w:p>
      <w:pPr>
        <w:pStyle w:val="Heading2"/>
      </w:pPr>
      <w:r>
        <w:t>Erwägungen</w:t>
      </w:r>
    </w:p>
    <w:p>
      <w:r>
        <w:rPr>
          <w:b/>
        </w:rPr>
        <w:t>E. 30</w:t>
      </w:r>
    </w:p>
    <w:p>
      <w:r>
        <w:t>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