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IV.2011.00370 vom 27. November 2012</w:t>
      </w:r>
    </w:p>
    <w:p>
      <w:r>
        <w:t>ZH Sozialversicherungsgericht, 2012-11-27, DE</w:t>
      </w:r>
    </w:p>
    <w:p>
      <w:r>
        <w:rPr>
          <w:b/>
        </w:rPr>
        <w:t xml:space="preserve">Quelle: </w:t>
      </w:r>
      <w:r>
        <w:t>https://mcp.opencaselaw.ch/entscheid/zh_sozialversicherungsgericht_IV.2011.00370</w:t>
      </w:r>
    </w:p>
    <w:p>
      <w:r>
        <w:t>FR: ZH_SOZIALVERSICHERUNGSGERICHT IV.2011.00370 du 27 novembre 2012</w:t>
      </w:r>
    </w:p>
    <w:p>
      <w:r>
        <w:t>IT: ZH_SOZIALVERSICHERUNGSGERICHT IV.2011.00370 del 27 novembre 2012</w:t>
      </w:r>
    </w:p>
    <w:p>
      <w:pPr>
        <w:pStyle w:val="Heading2"/>
      </w:pPr>
      <w:r>
        <w:t>Erwägungen</w:t>
      </w:r>
    </w:p>
    <w:p>
      <w:r>
        <w:rPr>
          <w:b/>
        </w:rPr>
        <w:t>E. 1</w:t>
      </w:r>
    </w:p>
    <w:p>
      <w:r>
        <w:t>1.1Â Â Â Â  GestÃ¼tzt auf Art. 55 Abs. 1 des Bundesgesetzes Ã¼ber den Allgemeinen Teil des Sozialversicherungsrechts (ATSG) in Verbindung mit Art. 56 des Bundesgesetzes Ã¼ber das Verwaltungsverfahren (VwVG) kann die Verwaltung ihre Leistungen im Rahmen vorsorglicher Massnahmen einstweilen einstellen (vgl. dazu Franz Schlauri, Die Einstellung von Dauerleistungen in der Sozialversicherung, in: Schaffhauser/Schlauri [Hrsg.], Die Revision von Dauerleistungen, St. Gallen 1999, S. 191 ff., 216 ff). Dabei hat sie - in gleicher Weise wie bei der Beurteilung der Frage, ob einem Entscheid suspensive Wirkung zukommt (vgl. Art. 11 der Verordnung Ã¼ber den Allgemeinen Teil des Sozialversicherungsrechts [ATSV] in Verbindung mit Art. 55 VwVG) - eine InteressenabwÃ¤gung vorzunehmen.</w:t>
      </w:r>
    </w:p>
    <w:p>
      <w:r>
        <w:t>Â Â Â Â Â Â Â Â  Die beurteilende BehÃ¶rde hat mithin zu prÃ¼fen, ob die GrÃ¼nde, die fÃ¼r die Wirksamkeit der vorsorglichen Anordnung sprechen, gewichtiger sind als jene, die fÃ¼r die gegenteilige LÃ¶sung angefÃ¼hrt werden kÃ¶nnen, wobei ihr ein gewisser Ermessensspielraum zusteht und beim Entscheid im Allgemeinen auf den Sachverhalt abzustellen ist, der sich aus den vorhandenen Akten und ohne zeitraubende weitere Erhebungen ergibt. Bei der AbwÃ¤gung kÃ¶nnen auch - eindeutige - Aussichten auf den Ausgang des Verfahrens in der Hauptsache ins Gewicht fallen (vgl. etwa Urteile des damaligen EidgenÃ¶ssischen Versicherungsgerichts vom 8. August 2005, I 426/05 E. 2.2, vom 3. April 2003, I 57/03 E. 4.1 und vom 11. Dezember 2002, U 21/02 E. 7.2 und 8.2, je mit Hinweisen).</w:t>
      </w:r>
    </w:p>
    <w:p>
      <w:r>
        <w:t>1.2Â Â Â Â  Die mit der 5. Revision des Bundesgesetzes Ã¼ber die Invalidenversicherung (IVG) neu eingefÃ¼gte, seit dem 1. Januar 2008 geltende spezialgesetzliche Regelung des Art. 7b Abs. 2 IVG sieht vor, dass Leistungen in Abweichung von Art. 21 Abs. 4 ATSG ohne Mahn- und Bedenkzeitverfahren unter anderem dann gekÃ¼rzt oder verweigert werden kÃ¶nnen, wenn die versicherte Person ihrer Meldepflicht nach Art. 31 Abs. 1 ATSG nicht nachgekommen ist (lit. b), Leistungen der Invalidenversicherung zu Unrecht erwirkt oder zu erwirken versucht hat (lit. c) oder der IV-Stelle die AuskÃ¼nfte nicht erteilt, die diese zur ErfÃ¼llung ihrer gesetzlichen Aufgabe benÃ¶tigt (lit. d). Beim Entscheid Ã¼ber die KÃ¼rzung oder Verweigerung von Leistungen sind laut Art. 7b Abs. 3 IVG alle UmstÃ¤nde des einzelnen Falls, insbesondere das Ausmass des Verschuldens und die wirtschaftliche Lage der versicherten Person, zu berÃ¼cksichtigen.</w:t>
      </w:r>
    </w:p>
    <w:p>
      <w:r>
        <w:rPr>
          <w:b/>
        </w:rPr>
        <w:t>E. 2</w:t>
      </w:r>
    </w:p>
    <w:p>
      <w:r>
        <w:t>2.1Â Â Â Â  Die IV-Stelle begrÃ¼ndete die sofortige Sistierung der Invalidenrente im Wesentlichen damit, dass dem BeschwerdefÃ¼hrer von den behandelnden Ãrzten eine vollstÃ¤ndige ArbeitsunfÃ¤higkeit attestiert werde. Die Observation habe indessen Ergebnisse zutage gefÃ¶rdert, die mit den geklagten GesundheitsbeeintrÃ¤chtigungen und den gestellten Diagnosen nicht in Einklang zu bringen seien. Damit stelle sich die Frage, ob sich der Gesundheitszustand nicht zwischenzeitlich derart verbessert habe, dass von einer vollstÃ¤ndigen und uneingeschrÃ¤nkten ArbeitsfÃ¤higkeit fÃ¼r sÃ¤mtliche TÃ¤tigkeiten ausgegangen werden mÃ¼sse. Jedenfalls bestÃ¼nden erhebliche Zweifel am Leistungsanspruch des BeschwerdefÃ¼hrers (Urk. 2).</w:t>
      </w:r>
    </w:p>
    <w:p>
      <w:r>
        <w:t>2.2Â Â Â Â  Der BeschwerdefÃ¼hrer stellt sich demgegenÃ¼ber auf den Standpunkt, das Observationsmaterial stamme vom Haftpflichtversicherer. In einem Zivilprozess gÃ¤lten die von ihm eingebrachten Dokumente lediglich als Parteibehauptungen. Dem Observationsmaterial komme folglich kein Beweiswert zu. Abgesehen davon ergebe sich aus der Observation nicht, dass er Parkettverlege- oder Schleifarbeiten getÃ¤tigt habe. Es gehe daraus nur hervor, dass er seinen Betrieb dergestalt fÃ¼hre, dass er die Arbeiter Ã¼berwache und instruiere. Dabei gehe er bei Problemen gelegentlich selbst auf die Knie, um Anweisungen zu erteilen. FÃ¼r diese Verrichtungen sei er nicht eingeschrÃ¤nkt, hiefÃ¼r sei ihm stets eine ArbeitsfÃ¤higkeit bescheinigt worden. Weiter verhalte sich die IV-Stelle widersprÃ¼chlich, wenn sie in Kenntnis des Observationsmaterials Regressleistungen der Haftpflichtversicherung entgegennehme, gleichzeitig nun aber eine volle ArbeitsfÃ¤higkeit des BeschwerdefÃ¼hrers postuliere (Urk. 1).</w:t>
      </w:r>
    </w:p>
    <w:p>
      <w:r>
        <w:rPr>
          <w:b/>
        </w:rPr>
        <w:t>E. 3</w:t>
      </w:r>
    </w:p>
    <w:p>
      <w:r>
        <w:t>3.1Â Â Â Â  Das EidgenÃ¶ssische Versicherungsgericht fÃ¼hrte im Urteil vom 23. November 1998 aus, nach den medizinischen Akten stehe fest, dass der BeschwerdefÃ¼hrer aufgrund der Folgen des Unfalls vom 27. Dezember 1993 in seiner ArbeitsfÃ¤higkeit nur - aber immerhin - insofern eingeschrÃ¤nkt sei, als er keine lÃ¤ngerandauernden knienden Arbeiten mehr verrichten kÃ¶nne. Bei allen TÃ¤tigkeiten, bei denen er nicht jeweils fÃ¼r lÃ¤ngere Zeit knien mÃ¼sse, bestehe hingegen eine uneingeschrÃ¤nkte ArbeitsfÃ¤higkeit, auch wenn es sich dabei um kÃ¶rperliche Schwerarbeit handle. Aus den vor und nach den UnfÃ¤llen ermittelten Reineinkommen des BeschwerdefÃ¼hrers als SelbstÃ¤ndigerwerbender schloss das EidgenÃ¶ssische Versicherungsgericht, dass der BeschwerdefÃ¼hrer trotz der medizinisch ausgewiesenen Behinderung in seinem wirtschaftlichen Fortkommen nicht eingeschrÃ¤nkt sei. Ein Anspruch auf eine Invalidenrente bestehe somit nicht (Urk. 7/25).</w:t>
      </w:r>
    </w:p>
    <w:p>
      <w:r>
        <w:t>3.2Â Â Â Â  Das Sozialversicherungsgericht des Kantons ZÃ¼rich unterschied im Urteil vom 13. Juli 2005 die Verrichtungen als Parkettbodenleger und -schleifer. Es ging davon aus, dass dem BeschwerdefÃ¼hrer nach dem Unfall vom 27. Dezember 1993 Arbeiten als Parkettbodenleger nur noch sehr eingeschrÃ¤nkt mÃ¶glich gewesen seien. Hingegen habe er - nebst der Administration und Akquisition, die indessen einen kleinen Teil der gesamten TÃ¤tigkeit ausmachten - nach wie vor Schleifarbeiten ausÃ¼ben kÃ¶nnen. Weiter nahm es an, dass dem BeschwerdefÃ¼hrer nach den UnfÃ¤llen vom 29. Oktober 1999 und vom 16. August 2001 nunmehr auch keine Schleifarbeiten mehr mÃ¶glich seien. Dabei stÃ¼tzte es sich auf die Berichte des behandelnden Neurologen Dr. med. A.___. Darin wurden ein chronifiziertes und therapieresistentes Zervikalsyndrom diagnostiziert. Die HalswirbelsÃ¤ule wurde als fast unbeweglich mit sehr starker Druckdolenz der Nacken- und Schultermuskulatur beschrieben (Urk. 7/37/3, 7/49 vgl. auch Urk. 7/62, 7/69). Die gestÃ¼tzt auf einen allgemeinen Einkommensvergleich vorgenommene InvaliditÃ¤tsbemessung ergab einen InvaliditÃ¤tsgrad von 60 %, was aufgrund der damals geltenden Rentenabstufungen ab 1. Oktober 2000 einen Anspruch auf eine halbe und ab 1. Januar 2004 einen Anspruch auf eine Dreiviertelsrente gab (Urk. 7/125).</w:t>
      </w:r>
    </w:p>
    <w:p>
      <w:r>
        <w:t>3.3Â Â Â Â  Auf dem Fragebogen fÃ¼r die Revision der Invalidenrente verneinte der BeschwerdefÃ¼hrer am 8. September 2010 eine Ãnderung des Gesundheitszustandes (Urk. 7/157). Auch Dr. A.___ bestÃ¤tigte im Bericht vom 10. November 2010 ein unverÃ¤ndertes chronifiziertes Zervikalsyndrom. Es bestehe eine massiv eingeschrÃ¤nkte Beweglichkeit der HalswirbelsÃ¤ule sowie eine neurovegetative und neuropsychologische Symptomatik. Als Parkettbodenleger und -schleifer sei der BeschwerdefÃ¼hrer voll arbeitsunfÃ¤hig (Urk. 7/162).</w:t>
      </w:r>
    </w:p>
    <w:p>
      <w:r>
        <w:rPr>
          <w:b/>
        </w:rPr>
        <w:t>E. 4</w:t>
      </w:r>
    </w:p>
    <w:p>
      <w:r>
        <w:t>4.1Â Â Â Â  Die Observationen erfolgten in den Jahren 2000, 2001, 2004 und 2005. KÃ¶rperliche EinschrÃ¤nkungen sind auf dem Observationsmaterial nicht erkennbar. Der BeschwerdefÃ¼hrer bewegt den OberkÃ¶rper flÃ¼ssig, die Kopfrotation erscheint uneingeschrÃ¤nkt, das Heben und Tragen schwerer Sachen ohne Weiteres mÃ¶glich und das Gangbild unauffÃ¤llig. Die Videosequenzen zeigen den BeschwerdefÃ¼hrer auf beiden Knien Ã¼ber einen mehrminÃ¼tigen Zeitraum, was eine ArbeitsunfÃ¤higkeit fÃ¼r lÃ¤ngerandauernde kniende TÃ¤tigkeiten nicht ausschliesst. Indessen fehlen Hinweise, die sich mit einem chronifizierten Zervikalsyndrom mit massiver EinschrÃ¤nkung der Beweglichkeit der HalswirbelsÃ¤ule vereinbaren lassen (Urk. 7/161, vgl. auch Urk. 7/163). In Anbetracht dieser Bilder sind Zweifel angebracht, ob die gesundheitliche Situation des BeschwerdefÃ¼hrers tatsÃ¤chlich so schlecht ist, wie sie sich aufgrund der medizinischen Akten prÃ¤sentiert, und es stellt sich die Frage, ob die tatsÃ¤chliche LeistungsfÃ¤higkeit nicht hÃ¶her einzuschÃ¤tzen ist. Auf jeden Fall liegt die Vermutung nahe, dass der BeschwerdefÃ¼hrer seine Meldepflicht verletzt beziehungsweise bei der Neuanmeldung und der Rentenrevision nicht alle erforderlichen AuskÃ¼nfte erteilt hat und er weit weniger erheblich in seiner LeistungsfÃ¤higkeit eingeschrÃ¤nkt ist, als er dies den Ãrzten gegenÃ¼ber geschildert hat.</w:t>
      </w:r>
    </w:p>
    <w:p>
      <w:r>
        <w:t>4.2Â Â Â Â  Zum gegenwÃ¤rtigen Zeitpunkt kann zwar noch nichts Ã¼ber die Rentenberechtigung des BeschwerdefÃ¼hrers ausgesagt werden, aber es wurden doch ernsthafte Zweifel geweckt, die es nun auszurÃ¤umen gibt, zumal der nun bestehende Gesundheitszustand mit jenem vergleichbar erscheint, wie er dem Urteil des EidgenÃ¶ssischen Versicherungsgerichts vom 23. November 1998 zu Grund lag. Die IV-Stelle hat daher zu Recht eine polydisziplinÃ¤re AbklÃ¤rung in die Wege geleitet. Soweit der BeschwerdefÃ¼hrer die Verwertbarkeit des Observationsmaterials in Frage stellt, ist er darauf hinzuweisen, dass der Umstand, dass die Observation von einem Privatversicherer in Auftrag gegeben wurde, an der Beweiskraft des Observationsmaterials nichts Ã¤ndert (BGE 135 I 169, 137 I 327). Unerheblich ist sodann sein Einwand, er sei seinerzeit eingehend abgeklÃ¤rt worden, zumal gerade aufgrund der aus den Observationen gewonnen Erkenntnisse Zweifel an der Richtigkeit dieser Ã¤rztlichen Beurteilungen bestehen. Von Vornherein nichts zu seinen Gunsten abzuleiten vermag der BeschwerdefÃ¼hrer aus dem von ihm erwÃ¤hnten fMRI. Denn dabei handelt es sich nicht um eine wissenschaftlich anerkannte Untersuchungsform zum Nachweis von organischen StÃ¶rungen (BGE 134 V 231). Entscheidend fÃ¼r die ArbeitsfÃ¤higkeitsbeurteilung ist, welche TÃ¤tigkeiten dem BeschwerdefÃ¼hrer aus Ã¤rztlicher Sicht noch zumutbar sind. Dies scheint der BeschwerdefÃ¼hrer zu verkennen, wenn er geltend macht, in keinem der Observationsberichte wÃ¼rde festgehalten, dass er mit Parkettverlegearbeiten und Parkettschleifarbeiten beschÃ¤ftigt gewesen sei. Weiter tut das angeblich widersprÃ¼chliche Verhalten der IV-Stelle, indem sie Regressleistungen trotz Kenntnis der Observationsberichte entgegen genommen habe, im Zusammenhang mit der verfÃ¼gten Sistierung der Invalidenversicherungsleistungen nichts zur Sache.</w:t>
      </w:r>
    </w:p>
    <w:p>
      <w:r>
        <w:t>4.3Â Â Â Â  Im Lichte dieser UmstÃ¤nde kann nicht gesagt werden, dass die Prozessaussichten des BeschwerdefÃ¼hrers aufgrund der derzeitigen Aktenlage eindeutig gÃ¼nstig seien. Vielmehr bestehen wesentliche Anhaltspunkte fÃ¼r das Vorliegen der Voraussetzungen einer Leistungseinstellung nach Art. 7b Abs. 2 IVG. Dass die verfÃ¼gte Sistierung unverhÃ¤ltnismÃ¤ssig wÃ¤re, kann in Anbetracht der Aktenlage und des der IV-Stelle allenfalls drohenden (weiteren) Schadens bei der Weitererbringung mÃ¶glicherweise nicht geschuldeter Leistungen nicht gesagt werden. So ist das Interesse der IV-Stelle, eine RÃ¼ckforderung wegen der damit verbundenen administrativen Erschwernisse und der Gefahr der Uneinbringlichkeit nach MÃ¶glichkeit zu vermeiden, vorliegend klarerweise hÃ¶her zu gewichten als das in der Vermeidung einer finanziellen Notlage bestehende Interesse des BeschwerdefÃ¼hrers.</w:t>
      </w:r>
    </w:p>
    <w:p>
      <w:r>
        <w:t>Â Â Â Â Â Â Â Â  Dies fÃ¼hrt zur Abweisung der Beschwerde.</w:t>
      </w:r>
    </w:p>
    <w:p>
      <w:r>
        <w:t>5.Â Â Â Â Â Â  Das Verfahren ist, weil es nicht die Bewilligung oder Verweigerung von IV-Leistungen zum Gegenstand hat, kostenlos (e contrario Art. 69 Abs. 1 bis IVG).</w:t>
      </w:r>
    </w:p>
    <w:p>
      <w:r>
        <w:t>Das Gericht erkennt:</w:t>
      </w:r>
    </w:p>
    <w:p>
      <w:r>
        <w:t>1.Â Â Â Â Â Â Â Â  Die Beschwerde wird abgewiesen.</w:t>
      </w:r>
    </w:p>
    <w:p>
      <w:r>
        <w:t>2.Â Â Â Â Â Â Â Â  Das Verfahren ist kostenlos.</w:t>
      </w:r>
    </w:p>
    <w:p>
      <w:r>
        <w:t>3.Â Â Â Â Â Â Â Â  Zustellung gegen Empfangsschein an:</w:t>
      </w:r>
    </w:p>
    <w:p>
      <w:r>
        <w:t>- FÃ¼rsprecher Rudolf Gautschi</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