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IV.2011.00178 vom 26. März 2012</w:t>
      </w:r>
    </w:p>
    <w:p>
      <w:r>
        <w:t>ZH Sozialversicherungsgericht, 2012-03-26, DE</w:t>
      </w:r>
    </w:p>
    <w:p>
      <w:r>
        <w:rPr>
          <w:b/>
        </w:rPr>
        <w:t xml:space="preserve">Quelle: </w:t>
      </w:r>
      <w:r>
        <w:t>https://mcp.opencaselaw.ch/entscheid/zh_sozialversicherungsgericht_IV.2011.00178</w:t>
      </w:r>
    </w:p>
    <w:p>
      <w:r>
        <w:t>FR: ZH_SOZIALVERSICHERUNGSGERICHT IV.2011.00178 du 26 mars 2012</w:t>
      </w:r>
    </w:p>
    <w:p>
      <w:r>
        <w:t>IT: ZH_SOZIALVERSICHERUNGSGERICHT IV.2011.00178 del 26 marzo 2012</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13. Januar 2011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t>1.4Â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 arbeitsunfÃ¤hig (Art. 6 ATSG) gewesen sind; und</w:t>
      </w:r>
    </w:p>
    <w:p>
      <w:r>
        <w:t>c.Â  nach Ablauf dieses Jahres zu mindestens 40 % invalid (Art. 8 ATSG) sind.</w:t>
      </w:r>
    </w:p>
    <w:p>
      <w:r>
        <w:t>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1.5Â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1.6Â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3-2012 S. 94 Tabelle B9.2; BGE 129 V 472 E. 4.3.2, 126 V 75 f. E. 3b/bb, 124 V 321 E. 3b/aa; AHI 2000 S. 81 E. 2a).</w:t>
      </w:r>
    </w:p>
    <w:p>
      <w:r>
        <w:t>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 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222 f. E. 4.2 in fine, 128 V 174, Urteil des Bundesgerichts I 156/02 vom 26. Mai 2003).</w:t>
      </w:r>
    </w:p>
    <w:p>
      <w:r>
        <w:rPr>
          <w:b/>
        </w:rPr>
        <w:t>E. 2</w:t>
      </w:r>
    </w:p>
    <w:p>
      <w:r>
        <w:t>2.1Â Â Â Â  Zu beurteilen ist der Rentenanspruch der BeschwerdefÃ¼hrerin. Streitig ist dabei allein die im Zuge einer gestaffelten Rentenzusprache erfolgte Rentenherabsetzung von einer zunÃ¤chst ganzen auf eine halbe Rente mit Wirkung ab 1. Dezember 2007. Zwar hat dies keine EinschrÃ¤nkung des Anfechtungsgegenstandes in dem Sinne zur Folge, dass die unbestritten gebliebene Zusprache einer ganzen Rente mit Wirkung von 1. Februar 2006 bis 30. November 2007 von der gerichtlichen Beurteilung ausgeklammert bleiben wÃ¼rde (s. oben E. 1.5). Indessen besteht nach Lage der Akten kein Anlass, auf die unbestritten gebliebenen Bezugszeiten von Amtes wegen zurÃ¼ckzukommen (Rentenanspruch: Ganze Rente; Rentenbeginn: 1. Februar 2006). Zu prÃ¼fen ist vielmehr einzig, ob die BeschwerdefÃ¼hrerin ab 1. Dezember 2007 Anspruch auf eine hÃ¶here als die ihr von der Beschwerdegegnerin nurmehr zuerkannte halbe Rente hat (weiterhin ganze oder eventuell Dreiviertelsrente), wobei der Zeitpunkt der Wirksamkeit der etwaigen Rentenherabsetzung weder in Frage gestellt wird noch von Amtes wegen Anlass zu Weiterungen gibt.</w:t>
      </w:r>
    </w:p>
    <w:p>
      <w:r>
        <w:t>2.2Â Â Â Â  Die Beschwerdegegnerin begrÃ¼ndete die angefochtene Rentenherabsetzung damit, dass sich der Gesundheitszustand der BeschwerdefÃ¼hrerin seit der Begutachtung durch den Psychiater Dr. med. A.___ deutlich verbessert habe und ab 17. September 2007 eine 50%ige ArbeitsfÃ¤higkeit in angepasster TÃ¤tigkeit bestehe. Dabei kÃ¶nnte die BeschwerdefÃ¼hrerin - unter BerÃ¼cksichtigung eines Leidensabzugs von 10 % auf dem Tabellenlohn - ein Invalideneinkommen von Fr. 30'087.-- pro Jahr erzielen. Dies fÃ¼hre bei einem Valideneinkommen von Fr. 63'742.-- zu einem InvaliditÃ¤tsgrad von 53 %, weshalb Anspruch auf eine halbe Rente bestehe (Urk. 2 ÂVerfÃ¼gungsteil 2Â S. 3). In ihrer Vernehmlassung hielt die Beschwerdegegnerin in Bezug auf das Invalideneinkommen fest, die BeschwerdefÃ¼hrerin verfÃ¼ge als gelernte Arztgehilfin und ehemalige Jugendhausleiterin (unter anderem) Ã¼ber besondere Kenntnisse in den Bereichen Korrespondenz, Administration und BÃ¼roarbeit, weshalb bei der Festlegung des Invalideneinkommens auf das Anforderungsniveau 3 der LSE abgestellt werden dÃ¼rfe, welches Berufs- und Fachkenntnisse voraussetze (Urk. 8).</w:t>
      </w:r>
    </w:p>
    <w:p>
      <w:r>
        <w:t>2.3Â Â Â Â  Die BeschwerdefÃ¼hrerin bestreitet die Richtigkeit des von der Beschwerdegegnerin im Rahmen der Rentenherabsetzung vorgenommenen Einkommensvergleichs. Sie hÃ¤lt diesem in Bezug auf das Invalideneinkommen entgegen, dass sie die TÃ¤tigkeit, wofÃ¼r sie ausgebildet worden sei (soziokulturelle Animation) aufgrund der bestÃ¤tigten gesundheitlichen EinschrÃ¤nkungen nicht mehr ausÃ¼ben kÃ¶nne. In angepassten, zumutbaren TÃ¤tigkeiten, wobei am ehesten persÃ¶nliche Dienstleistungen gemÃ¤ss Ziffer 93 der LSE in Frage kÃ¤men, sei sie als unqualifiziert zu betrachten und im Anforderungsniveau 4 einzustufen (einfache und repetitive TÃ¤tigkeiten). Dabei resultiere - unter BerÃ¼cksichtigung eines leidensbedingten Abzugs von 10 % - ein InvaliditÃ¤tsgrad von 70 %, weshalb ihr auch nach unbestrittener Verbesserung ihres Gesundheitszustandes ab September 2007 weiterhin eine ganze Invalidenrente zustehe. Eventuell - falls das Gericht einen der Bemessungsfaktoren abweichend beurteilen wÃ¼rde - bestehe wenigstens Anspruch auf eine Dreiviertelsrente (Urk. 1).</w:t>
      </w:r>
    </w:p>
    <w:p>
      <w:r>
        <w:rPr>
          <w:b/>
        </w:rPr>
        <w:t>E. 3</w:t>
      </w:r>
    </w:p>
    <w:p>
      <w:r>
        <w:t>3.1Â Â Â Â  RAD-Arzt Dr. Z.___ stellte in seinem - auf eigenen umfasssenden Untersuchungen beruhenden, die geklagten Beschwerden berÃ¼cksichtigenden und in Kenntnisnahme der Vorakten abgegebenen - Gutachten vom 19. Juli 2010 (Urk. 3/4) folgende Hauptdiagnosen:</w:t>
      </w:r>
    </w:p>
    <w:p>
      <w:r>
        <w:t>- kombinierte PersÃ¶nlichkeitsstÃ¶rung mit vorwiegend abhÃ¤ngigen, Ã¤ngstlich vermeidenden und akzentuierten ZÃ¼gen (ICD-10 F61.0)</w:t>
      </w:r>
    </w:p>
    <w:p>
      <w:r>
        <w:t>- gegenwÃ¤rtige milde depressive Episode mit somatischem Syndrom (ICD-10 F32.01)</w:t>
      </w:r>
    </w:p>
    <w:p>
      <w:r>
        <w:t>- Alkoholmissbrauch (ICD-10 F10.1) und</w:t>
      </w:r>
    </w:p>
    <w:p>
      <w:r>
        <w:t>- Cannabismissbrauch (ICD-10 F12.1)</w:t>
      </w:r>
    </w:p>
    <w:p>
      <w:r>
        <w:t>Â Â Â Â Â Â Â Â  In seiner Âversicherungsmedizinischen BeurteilungÂ gab Dr. Z.___ eine seit 26. Februar 2006 bestehende andauernde 100%ige ArbeitsunfÃ¤higkeit in der bisherigen TÃ¤tigkeit als Jugendhaus-Mitarbeiterin an und fÃ¼hrte aus, ab der Begutachtung bei Dr. med. A.___, Facharzt FMH fÃ¼r Psychiatrie und Psychotherapie (vgl. Gutachten vom 31. Oktober 2007, Urk. 9/23; samt gutachterlicher ErgÃ¤nzungen vom 2. Juni 2008 [Urk. 9/28] und 28. August 2009 [Urk. 9/37 = 9/38]) kÃ¶nne von einer deutlichen Verbesserung des Gesundheitszustandes mit insbesondere starkem RÃ¼ckgang der depressiven Symptomatik ausgegangen werden. Die BeschwerdefÃ¼hrerin sei dementsprechend ab 17. September 2007 in einer angepassten TÃ¤tigkeit zu 50 % arbeitsfÃ¤hig. MÃ¶glich sei ihr eine Ã¼berschaubare, klar strukturierte, emotional wenig belastende TÃ¤tigkeit mit wenig Kundenkontakt, welche eine klare Trennung von Arbeits- und Privatleben erlaube. Hierbei seien strukturelle PersÃ¶nlichkeitsverÃ¤nderungen, die zu einer weiteren Verbesserung der ArbeitsfÃ¤higkeit in angepasster TÃ¤tigkeit fÃ¼hren kÃ¶nnten, nur im Rahmen einer anhaltenden, kontinuierlich durchgefÃ¼hrten psychiatrisch-psychotherapeutischen Behandlung und eher mittel- bis langfristig zu erwarten. Daher sollte der BeschwerdefÃ¼hrerin eine entsprechende Schadenminderungspflicht auferlegt werden. Medizinisch-theoretisch mÃ¶glich erscheine eine Steigerung der ArbeitsfÃ¤higkeit auf ungefÃ¤hr 70 %. Voraussetzung dafÃ¼r bleibe ein verantwortungsbewusster Gebrauch von Alkohol und Cannabis.</w:t>
      </w:r>
    </w:p>
    <w:p>
      <w:r>
        <w:t>Â Â Â Â Â Â Â Â  Zur frÃ¼heren medizinischen Beurteilung von Dr. A.___, der insbesondere eine PersÃ¶nlichkeitsstÃ¶rung und ein zugehÃ¶riges dysfunktionales Verhalten diagnostiziert (vgl. Urk. 9/23/10 Ziff. 1) und eine Verbesserung des Gesundheitsschadens (vgl. Urk. 9/28/2) mit einer anlÃ¤sslich seiner Untersuchungen (im August und September 2007) ungefÃ¤hr 50%igen ArbeitsfÃ¤higkeit (in Form von vier Stunden tÃ¤glich [vgl. Urk. 9/37]) in bisheriger TÃ¤tigkeit (vgl. Urk. 9/23/12 Ziff. 8) angegeben hatte, erklÃ¤rte Dr. Z.___, aktuell sei von einer ArbeitsunfÃ¤higkeit von 100 % als Jugendhaus-Mitarbeiterin auszugehen, da sehr plausibel erscheine, dass die BeschwerdefÃ¼hrerin aufgrund ihrer PersÃ¶nlichkeitsstruktur und -stÃ¶rung den vielfÃ¤ltigen Beziehungs- und Interaktionsangeboten nur sehr schwer gerecht werden kÃ¶nne (Urk. 3/4 S. 7).</w:t>
      </w:r>
    </w:p>
    <w:p>
      <w:r>
        <w:t>3.2Â Â Â Â  Dieses einlÃ¤ssliche, in seinen Schlussfolgerungen wohlbegrÃ¼ndete Gutachten von RAD-Arzt Dr. Z.___ blieb zu Recht unbeanstandet (vgl. Urk. 1 S. 6). Aus den frÃ¼heren medizinischen Akten ergeben sich keine Anhaltspunkte, welche Zweifel daran aufkommen liessen (vgl. Gutachten von Dr. A.___ [Urk. 9/23, 9/28, 9/37] und frÃ¼heres Gutachten von Dr. med. B.___, FachÃ¤rztin FMH fÃ¼r Psychiatrie und Psychotherapie, vom 17. November 2005 [Urk. 9/7]). Damit ist bei Vergleich der relevanten Sachverhalte (vgl. E. 1.5 hievor) von einer verbesserten ArbeitsfÃ¤higkeit in angepasster TÃ¤tigkeit im Umfang von 50 % auszugehen.</w:t>
      </w:r>
    </w:p>
    <w:p>
      <w:r>
        <w:rPr>
          <w:b/>
        </w:rPr>
        <w:t>E. 4</w:t>
      </w:r>
    </w:p>
    <w:p>
      <w:r>
        <w:t>4.1Â Â Â Â  Unbestrittener- und erstelltermassen ist die BeschwerdefÃ¼hrerin als im Gesundheitsfall VollerwerbstÃ¤tige zu qualifizieren, welche sich aus freien StÃ¼cken mit einer reduzierten Erwerbsarbeit begnÃ¼gt (vgl. Urk. 2 ÂVerfÃ¼gungsteil 2Â S. 3, Urk. 1 S. 5), womit die InvaliditÃ¤tsbemessung nach der allgemeinen Methode des Einkommensvergleichs zu erfolgen hat. GrundsÃ¤tzlich einig gehen die Parteien auch darin, dass die wirtschaftliche Verwertbarkeit des ab September 2007 (vgl. Urk. 1 S. 6) medizinisch-theoretisch festgestellten (Rest-)Arbeits- und LeistungsvermÃ¶gens ohne weiteren Eingliederungsbedarf gewÃ¤hrleistet ist.</w:t>
      </w:r>
    </w:p>
    <w:p>
      <w:r>
        <w:t>4.2Â Â Â Â  GestÃ¼tzt auf die Arbeitgeberangabe vom 17. Oktober 2006 ist per 2006 von einem ohne Gesundheitsschaden erzielbaren Jahresverdienst von Fr. 62'799.80 auszugehen (dem Erwerbspensum von 70 % entsprechendes Einkommen [vgl. Urk. 9/11/2 Ziff. 9 und 16]). Per 2007 (Zeitpunkt der in Frage stehenden Rentenherabsetzung) resultiert - angepasst an die geschlechtsspezifische Nominallohnentwicklung - ein anrechenbares Valideneinkommen von Fr. 63'761.15 (Fr. 62'799.80 : 2417 Pkte. x 2454 Pkte.; Schweizerischer Lohnindex insgesamt ÂEntwicklung der NominallÃ¶hne, der Konsumentenpreise und der ReallÃ¶hne, 1976-2010Â [abrufbar unter: www.bfs.admin.ch/bfs/portal/de/index/themen/03/04/blank/data/02 ]).</w:t>
      </w:r>
    </w:p>
    <w:p>
      <w:r>
        <w:t>4.3Â Â Â Â  Da die BeschwerdefÃ¼hrerin keine neue ErwerbstÃ¤tigkeit aufgenommen hat (vgl. Urk. 1 S. 4 Ziff. 4), ist das Invalideneinkommen anhand der LSE zu ermitteln. Dabei ist einerseits zu berÃ¼cksichtigen, dass gemÃ¤ss dem von RAD-Arzt Dr. Z.___ angegebenen Belastungsprofil insbesondere TÃ¤tigkeiten mit hÃ¤ufigem Kundenkontakt nicht in Frage kommen (vgl. Urk. 3/4 S. 7 Ziff. 11; vgl. auch Angabe von TÃ¤tigkeiten ohne ÂengenÂ Kontakt im Gutachten von Dr. A.___ [Urk. 9/23/10 Ziff. 2]), weshalb die bisherigen TÃ¤tigkeiten im Gesundheits- und Sozialwesen (vgl. LSE TA1 Ziff. 85) nicht mehr geeignet erscheinen. Anderseits kann sich die BeschwerdefÃ¼hrerin nicht auf die Heranziehung der LohnansÃ¤tze des Wirtschaftszweigs ÂpersÃ¶nliche DienstleistungenÂ berufen (vgl. Urk. 1 S. 5), in welchem die DurchschnittslÃ¶hne vergleichsweise tief sind (vgl. LSE 2006 TA1 Ziff. 93), wenn ihr trotz Behinderung andere normal entlÃ¶hnte Hilfsarbeiten zumutbar sind. Insgesamt rechtfertigt es sich, bei der Bestimmung des Invalideneinkommens vom standardisierten Monatslohn des Totals aller Sektoren (Zentralwert [Median]) auszugehen. Dabei darf aufgrund der ausgewiesenen fachlichen Qualifikation - die BeschwerdefÃ¼hrerin ist gelernte Arztgehilfin, erwarb 1995 das Diplom der HÃ¶heren Fachschule fÃ¼r Soziokulturelle Animation ZÃ¼rch (vgl. Urk. 9/2), hat Fremdsprachenkenntnisse in FranzÃ¶sisch, Englisch, Spanisch und Italienisch (vgl. Urk. 9/35/2) und verfÃ¼gt aufgrund ihrer mehrjÃ¤hrigen Erfahrung als Jugendhausleiterin Ã¼ber Kenntnisse in Âadministrativen ArbeitenÂ wie Berichte schreiben, Konzepte erstellen, Korrespondenz oder BudgetÃ¼berwachung (vgl. Urk. 9/2/7-8) - auf das Anforderungsniveau 3 (Berufs- und Fachkenntnisse vorausgesetzt) abgestellt werden.</w:t>
      </w:r>
    </w:p>
    <w:p>
      <w:r>
        <w:t>Â Â Â Â Â Â Â Â  Der entsprechende Frauenlohn lag im Jahr 2006 bei Fr. 4Â952.-- (LSE 2006 TA1). Bei Umrechnung des auf 40 Wochenstunden basierenden Werts auf die im Referenzjahr betriebsÃ¼bliche wÃ¶chentliche Arbeitszeit von 41.7 Stunden (A-S Total; Die Volkswirtschaft 3-2012 S. 94 Tabelle B9.2) ergibt dies Fr. 5'162.45 pro Monat beziehungsweise Fr. 61'949.50 pro Jahr. Unter Zubilligung des von der Beschwerdegegnerin in Anlehnung an die interne Berufsberatung zugestandenen behinderungsbedingten Abzugs von 10 % (vgl. Urk. 9/40/2), welcher angemessen ist, resultiert per 2006 in einem 50%-Pensum ein anrechenbarer Verdienst von Fr. 27'877.30. Nominallohnentwicklungsbereinigt per 2007 (Rentenherabsetzung) ergibt sich ein Invalideneinkommen von rund Fr. 28'304.05 (Fr. 27'877.30 : 2417 Pkte. x 2454 Pkte.; Schweizerischer Lohnindex insgesamt ÂEntwicklung der NominallÃ¶hne, der Konsumentenpreise und der ReallÃ¶hne, 1976-2010Â).</w:t>
      </w:r>
    </w:p>
    <w:p>
      <w:r>
        <w:t>4.4Â Â Â Â  Bei GegenÃ¼berstellung der Vergleichseinkommen von Fr. 63'761.15 und Fr. 28'304.05 resultiert per 2007 eine Erwerbseinbusse von Fr. 35'457.10.-- respektive ein InvaliditÃ¤tsgrad von gerundet 56 %.</w:t>
      </w:r>
    </w:p>
    <w:p>
      <w:r>
        <w:t>Â Â Â Â Â Â Â Â  Da Anhaltspunkte fÃ¼r eine erhebliche VerÃ¤nderung der hypothetischen BezugsgrÃ¶ssen in der Zeit von der Rentenherabsetzung (1. Dezember 2007) bis zum VerfÃ¼gungserlass (13. Januar 2011) fehlen, kann von der DurchfÃ¼hrung eines weiteren Einkommensvergleichs abgesehen werden.</w:t>
      </w:r>
    </w:p>
    <w:p>
      <w:r>
        <w:t>Â Â Â Â Â Â Â Â Damit hat die BeschwerdefÃ¼hrerin ab 1. Dezember 2007 Anspruch auf eine halbe Rente, was zur Abweisung der Beschwerde fÃ¼hrt.</w:t>
      </w:r>
    </w:p>
    <w:p>
      <w:r>
        <w:t>5.Â Â Â Â Â Â  Die Verfahrenskosten gemÃ¤ss Art. 69 Abs. 1 bis IVG sind ermessensweise auf Fr. 700.-- festzusetzen und ausgangsgemÃ¤ss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RechtsanwÃ¤ltin Marianne Ott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