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IV.2011.00121 vom 19. April 2011</w:t>
      </w:r>
    </w:p>
    <w:p>
      <w:r>
        <w:t>ZH Sozialversicherungsgericht, 2011-04-19, DE</w:t>
      </w:r>
    </w:p>
    <w:p>
      <w:r>
        <w:rPr>
          <w:b/>
        </w:rPr>
        <w:t xml:space="preserve">Quelle: </w:t>
      </w:r>
      <w:r>
        <w:t>https://mcp.opencaselaw.ch/entscheid/zh_sozialversicherungsgericht_IV.2011.00121</w:t>
      </w:r>
    </w:p>
    <w:p>
      <w:r>
        <w:t>FR: ZH_SOZIALVERSICHERUNGSGERICHT IV.2011.00121 du 19 avril 2011</w:t>
      </w:r>
    </w:p>
    <w:p>
      <w:r>
        <w:t>IT: ZH_SOZIALVERSICHERUNGSGERICHT IV.2011.00121 del 19 aprile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16. Dezember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Beschwerdegegnerin hat die Bestimmungen und GrundsÃ¤tze zu den Vor-aussetzungen und zum Umfang des Rentenanspruchs (Art. 28 Abs. 1 und 2 IVG) sowie der Berechnung des InvaliditÃ¤tsgrades (Art. 16 ATSG) - namentlich unter Anwendung der gemischten Methode - in der angefochtenen VerfÃ¼gung (Urk. 2) zutreffend dargelegt. Darauf wird verwiesen.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rezidivierende depressive StÃ¶rung, gegenwÃ¤rtig mittelschwere Episode (vorwiegend Ã¤ngstlich-apathisch-gehemmte Depression)</w:t>
      </w:r>
    </w:p>
    <w:p>
      <w:r>
        <w:rPr>
          <w:b/>
        </w:rPr>
        <w:t>E. 2.3</w:t>
      </w:r>
    </w:p>
    <w:p>
      <w:r>
        <w:t>2.3.1Â Â  Am 30. November 2006 (Urk. 8/36) erstatteten die Ãrzte des Y.___ ihr Gutachten, welches sich nebst den vorhandenen Akten auf Untersuchungen vom 18. bis 22. September 2006 in internistischer (S. 10 f.), orthopÃ¤discher, handchirurgischer (S. 11 ff.), neurologischer (S. 16 ff.) und psychiatrischer (S. 21 ff.) Hinsicht stÃ¼tzte. Die Gutachter stellten folgende Diagnosen (S. 25):</w:t>
      </w:r>
    </w:p>
    <w:p>
      <w:r>
        <w:t>1. anhaltende somatoforme SchmerzstÃ¶rung mit</w:t>
      </w:r>
    </w:p>
    <w:p>
      <w:r>
        <w:t>-Â Â  chronifiziertem zervikozephalem und links betontem zervikobrachialem Schmerzsyndrom ohne objektiv fassbare Befunde im Sinne einer radikulÃ¤ren LÃ¤sion</w:t>
      </w:r>
    </w:p>
    <w:p>
      <w:r>
        <w:t>-Â Â  Schulter-Armbeschwerden links bei</w:t>
      </w:r>
    </w:p>
    <w:p>
      <w:r>
        <w:t>Â Â Â  -Â Â  Status nach distaler Radiusfraktur loco-classico links am 22. MÃ¤rz 2003</w:t>
      </w:r>
    </w:p>
    <w:p>
      <w:r>
        <w:t>Â Â Â  -Â Â  Status nach Reposition und Gips-Fixation am 22. MÃ¤rz 2003</w:t>
      </w:r>
    </w:p>
    <w:p>
      <w:r>
        <w:t>Â Â Â  -Â Â  Status nach Osteosynthese am 28. MÃ¤rz 2003</w:t>
      </w:r>
    </w:p>
    <w:p>
      <w:r>
        <w:t>-Â Â  Status nach Metallentfernung, Ringbandspaltung Dig. I links und Dekompression eines Karpaltunnels links am 28. August 2003</w:t>
      </w:r>
    </w:p>
    <w:p>
      <w:r>
        <w:t>Â Â Â  -Â Â  Status nach Tenolyse der FPL-Sehne links am 17. MÃ¤rz 2004</w:t>
      </w:r>
    </w:p>
    <w:p>
      <w:r>
        <w:rPr>
          <w:b/>
        </w:rPr>
        <w:t>E. 3</w:t>
      </w:r>
    </w:p>
    <w:p>
      <w:r>
        <w:t>dorsales Handgelenksganglion rechts</w:t>
      </w:r>
    </w:p>
    <w:p>
      <w:r>
        <w:rPr>
          <w:b/>
        </w:rPr>
        <w:t>E. 4</w:t>
      </w:r>
    </w:p>
    <w:p>
      <w:r>
        <w:t>leichtes Karpaltunnelsyndrom links</w:t>
      </w:r>
    </w:p>
    <w:p>
      <w:r>
        <w:rPr>
          <w:b/>
        </w:rPr>
        <w:t>E. 5</w:t>
      </w:r>
    </w:p>
    <w:p>
      <w:r>
        <w:t>Ãbergewicht</w:t>
      </w:r>
    </w:p>
    <w:p>
      <w:r>
        <w:rPr>
          <w:b/>
        </w:rPr>
        <w:t>E. 6</w:t>
      </w:r>
    </w:p>
    <w:p>
      <w:r>
        <w:t>Nikotinabusus</w:t>
      </w:r>
    </w:p>
    <w:p>
      <w:r>
        <w:rPr>
          <w:b/>
        </w:rPr>
        <w:t>E. 6.2</w:t>
      </w:r>
    </w:p>
    <w:p>
      <w:r>
        <w:t>6.2.1Â Â  In erwerblicher Hinsicht hielt die Beschwerdegegnerin in der angefochtenen VerfÃ¼gung fest, ausgehend vom Valideneinkommen entsprechend den statistischen Durchschnittswerten im Gastgewerbe (Pensum: 50 %) sowie dem Invalideneinkommen entsprechend einer 70%igen TÃ¤tigkeit in einer einfachen und repetitiven TÃ¤tigkeit ergebe sich keine Einkommenseinbusse.</w:t>
      </w:r>
    </w:p>
    <w:p>
      <w:r>
        <w:t>6.2.2Â Â  Da die BeschwerdefÃ¼hrerin ihre letzte Anstellung im Gastgewerbe nicht aus gesundheitsbedingten, sondern aus wirtschaftlichen GrÃ¼nden verloren hat, und hernach freiwillig eine Arbeitspause zum Erziehen der Kinder eingelegt hat, ist auch das Valideneinkommen anhand der Lohnstrukturerhebung des Bundesamtes fÃ¼r Statistik (LSE) bezÃ¼glich einfacher und repetitiver TÃ¤tigkeiten Ã¼ber alle Wirtschaftszweige zu ermitteln. Im massgebenden Jahr 2004 betrug der durchschnittliche Lohn von Frauen in entsprechenden TÃ¤tigkeiten Fr. 3'893.-- (LSE 2004 S. 53 Tabelle TA1), was aufgerechnet auf die durchschnittliche wÃ¶chentliche Arbeitszeit von 41.6 Stunden (Die Volkswirtschaft 3-2011 S. 90 Tabelle B9.2) einem Betrag von Fr. 4'049.-- pro Monat oder Fr. 48'588.-- Jahr entspricht. Da die BeschwerdefÃ¼hrerin als Gesunde im Umfang von 50 % tÃ¤tig wÃ¤re, reduziert sich das Einkommen auf Fr. 24'294.--.</w:t>
      </w:r>
    </w:p>
    <w:p>
      <w:r>
        <w:t>6.2.3Â Â  Mit Gesundheitsschaden ist die BeschwerdefÃ¼hrerin ebenfalls auf eine einfache und repetitive TÃ¤tigkeit eingeschrÃ¤nkt und kÃ¶nnte dabei - da das hypothetische 50%ige Arbeitspensum medizinisch vollumfÃ¤nglich (70%ige ArbeitsfÃ¤higkeit) zumutbar ist - das bekannte Einkommen von Fr. 24'294.-- erzielen. Da sie indes auf eine handschonende TÃ¤tigkeit angewiesen und damit das Spektrum mÃ¶glicher Stellen eingeschrÃ¤nkt sowie mit einem tieferen Lohn zu rechnen ist, reduziert sich das mÃ¶glich Einkommen um 10 % auf Fr. 21'865.--.</w:t>
      </w:r>
    </w:p>
    <w:p>
      <w:r>
        <w:t>6.2.4Â Â  Der Einkommensvergleich mit einem Valideneinkommen Fr. 24'294.-- und dem Invalideneinkommen von Fr. 21'865.-- ergibt einen InvaliditÃ¤tsgrad von 10 %. Gewichtet entsprechend dem 50%igen Erwerbsanteil resultiert ein InvaliditÃ¤tsgrad von 5 %.</w:t>
      </w:r>
    </w:p>
    <w:p>
      <w:r>
        <w:rPr>
          <w:b/>
        </w:rPr>
        <w:t>E. 6.3</w:t>
      </w:r>
    </w:p>
    <w:p>
      <w:r>
        <w:t>6.3.1Â Â  Im Haushaltbereich ging die Beschwerdegegnerin im angefochtenen Entscheid von einer EinschrÃ¤nkung von 34.8 % beziehungsweise anteilsmÃ¤ssig gewichtet von 17.4 % aus.</w:t>
      </w:r>
    </w:p>
    <w:p>
      <w:r>
        <w:t>6.3.2Â Â  Diese Bemessung wurde beschwerdeweise nicht beanstandet und ist nach Lage der Akten - zumindest aus Sicht der BeschwerdefÃ¼hrerin - zutreffend. Immerhin gingen die Gutachter von einer EinschrÃ¤nkung im Beruf von lediglich 30 % aus, weshalb Zweifel an einer EinschrÃ¤nkung im Haushalt Ã¼ber diesem Wert bestehen. So stÃ¼tzte sich denn auch die AbklÃ¤rungsperson auf die subjektiven Angaben der BeschwerdefÃ¼hrerin ab, ohne dass diese medizinisch verifiziert worden wÃ¤ren. Angesichts des klaren Ergebnisses ist indes auf Weiterungen zu verzichten.</w:t>
      </w:r>
    </w:p>
    <w:p>
      <w:r>
        <w:t>6.4Â Â Â Â  Bei einem gewichteten InvaliditÃ¤tsgrad von 5 % im Erwerbs- und 17.4 % im Haushaltbereich resultiert ein GesamtinvaliditÃ¤tsgrad von gerundet 22 %, bei welchem Ergebnis die BeschwerdefÃ¼hrerin kein Anrecht auf eine Rente der Invalidenversicherung hat. DemgemÃ¤ss erweist sich die angefochtene VerfÃ¼gung als zutreffend und ist die Beschwerde abzuweisen.</w:t>
      </w:r>
    </w:p>
    <w:p>
      <w:r>
        <w:rPr>
          <w:b/>
        </w:rPr>
        <w:t>E. 7</w:t>
      </w:r>
    </w:p>
    <w:p>
      <w:r>
        <w:t>7.1Â Â Â Â  Die Verfahrenskosten gemÃ¤ss Art. 69 Abs. 1 bis IVG sind ermessensweise auf Fr. 800.-- festzusetzen, ausgangsgemÃ¤ss der BeschwerdefÃ¼hrerin aufzuerlegen und infolge GewÃ¤hrung der unentgeltlichen Rechtspflege einstweilen auf die Gerichtskasse zu nehmen.</w:t>
      </w:r>
    </w:p>
    <w:p>
      <w:r>
        <w:rPr>
          <w:b/>
        </w:rPr>
        <w:t>E. 7.2</w:t>
      </w:r>
    </w:p>
    <w:p>
      <w:r>
        <w:t>7.2.1Â Â  Bei diesem Ausgang des Verfahrens ist die unentgeltliche Rechtsvertreterin der BeschwerdefÃ¼hrerin, RechtsanwÃ¤ltin Claudia Eugster, KÃ¼snacht, aus der Gerichtskasse zu entschÃ¤digen.</w:t>
      </w:r>
    </w:p>
    <w:p>
      <w:r>
        <w:t>7.2.2Â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7.2.3Â Â  Der von RechtsanwÃ¤ltin Claudia Eugster mit Eingabe vom 14. April 2011 geltend gemachte Aufwand von 14.25 Stunden und Fr. 78.-- Barauslagen (Urk. 11/2) ist der Bedeutung der Streitsache und der Schwierigkeit des Prozesses nicht angemessen, insbesondere aufgrund der Tatsache, dass sie die BeschwerdefÃ¼hrerin schon im Vorbescheidverfahren vertrat und die Akten somit bekannt waren. Sodann entspricht die Beschwerdeschrift in einzelnen Teilen den Stellungnahmen vom 13. September 2007 (Urk. 8/55) und 8. Januar 2010 (Urk. 8/76). Namentlich erscheint ein Aufwand von Ã¼ber neun Stunden fÃ¼r die Beschwerdeschrift als Ã¼berhÃ¶ht.</w:t>
      </w:r>
    </w:p>
    <w:p>
      <w:r>
        <w:t>Â Â Â Â Â Â Â Â Â  Angesichts der zu studierenden 93 AktenstÃ¼cke der Beschwerdegegnerin, welche bereits bekannt waren, und der 17-seitigen Rechtsschrift, den Aufwendungen im Zusammenhang mit dem Gesuch um unentgeltliche RechtsverbeistÃ¤ndung sowie der in Ã¤hnlichen FÃ¤llen zugesprochenen BetrÃ¤gen ist die EntschÃ¤digung von RechtsanwÃ¤ltin Claudia Eugster bei Anwendung des gerichtsÃ¼blichen Stundenansatzes von Fr. 200.-- (zuzÃ¼glich Mehrwertsteuer) auf Fr. 2'100.-- (inklusive Barauslagen und Mehrwertsteuer) festzusetzen.</w:t>
      </w:r>
    </w:p>
    <w:p>
      <w:r>
        <w:t>Â Â Â Â Â Â Â Â Â  Da das von der BeschwerdefÃ¼hrerin eingeholte Gutachten von Dr. B.___ fÃ¼r die Entscheidfindung nicht relevant war, ist auch kein Anspruch auf Ersatz dieser Begutachtungskosten gegeben.</w:t>
      </w:r>
    </w:p>
    <w:p>
      <w:r>
        <w:t>7.3Â Â Â Â  Die BeschwerdefÃ¼hrerin wird auf Â§ 16 Abs. 4 GSVGer hingewiesen, wonach sie zur Nachzahlung der Auslagen fÃ¼r die unentgeltliche Rechtspflege verpflichtet werden kann, sofern sie dazu in der Lage ist.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Claudia Eugster, KÃ¼snacht ZH, wird mit Fr. 2'100.-- (inkl. Barauslagen und MWSt) aus der Gerichtskasse entschÃ¤digt. Die BeschwerdefÃ¼hrerin wird auf Â§ 16 Abs. 4 GSVGer hingewiesen.</w:t>
      </w:r>
    </w:p>
    <w:p>
      <w:r>
        <w:t>4.Â Â Â Â Â Â Â Â  Zustellung gegen Empfangsschein an:</w:t>
      </w:r>
    </w:p>
    <w:p>
      <w:r>
        <w:t>- RechtsanwÃ¤ltin Claudia Eugster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