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IV.2010.01196 vom 7. November 2011</w:t>
      </w:r>
    </w:p>
    <w:p>
      <w:r>
        <w:t>ZH Sozialversicherungsgericht, 2011-11-07, DE</w:t>
      </w:r>
    </w:p>
    <w:p>
      <w:r>
        <w:rPr>
          <w:b/>
        </w:rPr>
        <w:t xml:space="preserve">Quelle: </w:t>
      </w:r>
      <w:r>
        <w:t>https://mcp.opencaselaw.ch/entscheid/zh_sozialversicherungsgericht_IV.2010.01196</w:t>
      </w:r>
    </w:p>
    <w:p>
      <w:r>
        <w:t>FR: ZH_SOZIALVERSICHERUNGSGERICHT IV.2010.01196 du 7 novembre 2011</w:t>
      </w:r>
    </w:p>
    <w:p>
      <w:r>
        <w:t>IT: ZH_SOZIALVERSICHERUNGSGERICHT IV.2010.01196 del 7 novembre 2011</w:t>
      </w:r>
    </w:p>
    <w:p>
      <w:pPr>
        <w:pStyle w:val="Heading2"/>
      </w:pPr>
      <w:r>
        <w:t>Erwägungen</w:t>
      </w:r>
    </w:p>
    <w:p>
      <w:r>
        <w:rPr>
          <w:b/>
        </w:rPr>
        <w:t>E. 15</w:t>
      </w:r>
    </w:p>
    <w:p>
      <w:r>
        <w:t>November 2010 (Urk. 2) eine wesentliche VerÃ¤nderung im Gesundheitszustand oder in den erwerblichen Auswirkungen eingetreten ist, welche nunmehr einen Leistungsanspruch der BeschwerdefÃ¼hrerin begrÃ¼ndet.</w:t>
      </w:r>
    </w:p>
    <w:p>
      <w:r>
        <w:t>3.Â Â Â Â Â Â</w:t>
      </w:r>
    </w:p>
    <w:p>
      <w:r>
        <w:t>3.1Â Â Â Â  Medizinische Grundlage der leistungsverneinenden VerfÃ¼gung vom 8. MÃ¤rz 2005 (Urk. 7/37) war vor allem der Bericht von Dr. med. Z.___ vom 4. Februar 2005 (Urk. 7/35), woraus sich zunÃ¤chst eine Behandlung bei ihm vom 3. Mai bis 5. Oktober 2004 ergibt. Der Arzt stellte als Diagnosen mit Auswirkung auf die ArbeitsfÃ¤higkeit eine Agenesie des linken Unterarmes beziehungsweise der Hand, eine HypermobilitÃ¤t und eine Haltungsinsuffizienz (seit Geburt). Der Gesundheitszustand der BeschwerdefÃ¼hrerin sei besserungsfÃ¤hig; ihre ArbeitsfÃ¤higkeit kÃ¶nne durch medizinische Massnahmen verbessert werden; berufliche Massnahmen seien nicht angezeigt. Die BeschwerdefÃ¼hrerin klage Ã¼ber Schulter- und Nackenbeschwerden sowie eine Lumbalgie. Als therapeutische Massnahmen seien eine Rolfingtherapie (Bindegewebs- und Triggerpunktmassage) sowie Haltungsschulung durchgefÃ¼hrt worden.</w:t>
      </w:r>
    </w:p>
    <w:p>
      <w:r>
        <w:t>Â Â Â Â Â Â Â Â  GestÃ¼tzt auf diesen Bericht sowie die Stellungnahme ihres Regionalen Ãrztlichen Dienstes (RAD), Dr. med. A.___, vom 3. MÃ¤rz 2005 (Urk. 7/36/3) stellte die Beschwerdegegnerin fest, dass aus medizinischer Sicht nicht von einem invalidvisierenden Gesundheitsschaden ausgegangen werden kÃ¶nne, welcher die ArbeitsfÃ¤higkeit der BeschwerdefÃ¼hrerin massgeblich einzuschrÃ¤nken vermÃ¶ge. Damit bestehe weder ein Anspruch auf berufliche Eingliederungsmassnahmen noch auf eine Invalidenrente (Urk. 7/37).</w:t>
      </w:r>
    </w:p>
    <w:p>
      <w:r>
        <w:t>3.2Â Â Â Â  Im Zusammenhang mit der Neuanmeldung der BeschwerdefÃ¼hrerin vom 6. September 2010 (Urk. 7/42) ist der Bericht von Dr. Y.___ vom 13. Oktober 2010 (Urk. 7/49) aktenkundig. Der Arzt hielt darin fest, dass ihm nicht ganz klar sei, weshalb ein ausfÃ¼hrlicher medizinischer Fragebogen verlangt werde, da die BeschwerdefÃ¼hrerin bereits seit 2 Jahren pensioniert sei. Er kÃ¶nne nur bestÃ¤tigen, dass sie einmal am 27. September 2010 bei ihm in Behandlung wegen einer Diagnose eines volaren Handgelenkganglions rechts gewesen sei. Als weitere Diagnosen stÃ¤nden in seiner Krankengeschichte eine Gonarthrose beidseits, eine Arthrose des oberen Sprunggelenkes (OSG), ein chronisches lumbovertebrales Syndrom und ein Status nach Amputation des linken Vorderarmes. Ferner befÃ¤nden sich in seinen Akten keine Unterlagen bezÃ¼glich einer ArbeitsfÃ¤higkeit beziehungsweise ArbeitsunfÃ¤higkeit der BeschwerdefÃ¼hrerin (Urk. 7/49).</w:t>
      </w:r>
    </w:p>
    <w:p>
      <w:r>
        <w:t>Â Â Â Â Â Â Â Â  Die zustÃ¤ndigen Ãrzte des RAD, Dr. med. B.___, FMH OrthopÃ¤dische Chirurgie und Traumatologie, und med. pract. C.___, FachÃ¤rztin fÃ¼r Innere Medizin FMH, hielten in ihrer Stellungnahme vom 18. und 19. Oktober 2010 (Urk. 7/50/3) fest, dass laut der vorliegenden Akten keine Diagnosen mit Auswirkung auf die ArbeitsfÃ¤higkeit zu verzeichnen seien. Eine ArbeitsunfÃ¤higkeit werde auch im Bericht von Dr. Y.___ vom 13. Oktober 2010 (Urk. 7/49) nicht postuliert. Zusammenfassend ergebe sich kein Gesundheitsschaden, der eine anhaltende ArbeitsunfÃ¤higkeit begrÃ¼nde; weitere medizinische AbklÃ¤rungen seien nicht nÃ¶tig.</w:t>
      </w:r>
    </w:p>
    <w:p>
      <w:r>
        <w:t>3.3Â Â Â Â  Diesen Beurteilungen von Dr. Y.___ vom 13. Oktober 2010 (Urk. 7/49) und des RAD (Urk. 7/50/3) folgte die Beschwerdegegnerin zu Recht (Urk. 2). Daraus ergibt sich, dass die GesundheitsstÃ¶rungen die BeschwerdefÃ¼hrerin in ihrer ArbeitsfÃ¤higkeit nicht wesentlich behindern und es ihr zumutbar ist, vollschichtig einer ArbeitstÃ¤tigkeit entsprechend Ihrer Berufsausbildung nachzugehen. In den Akten finden sich zudem keine Berichte, die der BeschwerdefÃ¼hrerin vor oder nach der Neuanmeldung vom 6. September 2010 eine ArbeitsunfÃ¤higkeit attestieren. Sie bringt auch nichts Konkretes vor, was eine ArbeitsunfÃ¤higkeit insbesondere nach der Neuanmeldung vom 6. September 2010 zu begrÃ¼nden vermag, insbesondere scheint sie nicht mehr in Behandlung zu sein.</w:t>
      </w:r>
    </w:p>
    <w:p>
      <w:r>
        <w:t>Â Â Â Â Â Â Â Â  Davon abgesehen wirken die von ihr angegebenen RÃ¼ckenschmerzen sowie die diagnostizierten Gonarthrose und OSG-Arthose sowie das chronische lumbovertebrale Syndrom (Urk. 7/49 an sich nicht invalidisierend, sondern es muss dargelegt sein, inwiefern sie nicht durch zumutbare Willensanstrengung Ã¼berwindbar sein sollen (vgl. BGE 131 V 50 f. E. 1.2; BGE 130 V 354 f. E. 2.2.3). Ihrem Einwand, dass sie gegen gesunde Konkurrenz keine Chance habe (Urk. 1 S. 2), ist sodann entgegenzuhalten, dass fÃ¼r die InvaliditÃ¤tsbemessung gemÃ¤ss Gesetz nicht der aktuelle, sondern der ausgeglichene Arbeitsmarkt massgebend ist (Art. 16 ATSG). Der ausgeglichene Arbeitsmarkt ist ein theoretischer und abstrakter Begriff. Er berÃ¼cksichtigt die konkrete Arbeitsmarktlage nicht, umfasst in wirtschaftlich schwierigen Zeiten auch tatsÃ¤chlich nicht vorhandene Stellenangebote und sieht von den fehlenden oder verringerten Chancen Teilinvalider, eine zumutbare und geeignete Arbeitsstelle zu finden, ab (BGE 134 V 64 E. 4.2.1, 110 V 273 E. 4b).</w:t>
      </w:r>
    </w:p>
    <w:p>
      <w:r>
        <w:t>3.4Â Â Â Â  Zusammenfassend steht aufgrund der medizinischen Aktenlage fest, dass sich der Gesundheitszustand der BeschwerdefÃ¼hrerin seit der rechtskrÃ¤ftigen Leistungsverneinung (VerfÃ¼gung vom 8. MÃ¤rz 2005, Urk. 7/37) nicht in relevanter Weise verÃ¤ndert hat, und sie nach wie vor zu 100 % arbeitsfÃ¤hig ist. Da auch in erwerblicher Hinsicht keine VerÃ¤nderungen geltend gemacht wurden oder solche ersichtlich sind, hat es mit der Feststellung sein Bewenden, dass der BeschwerdefÃ¼hrerin nach wie vor keine Rente der Invalidenversicherung oder berufliche Eingliederungsmassnahmen zustehen. DemgemÃ¤ss erweist sich die angefochtene VerfÃ¼gung vom 15. November 2010 (Urk. 2) als zutreffend, weshalb die Beschwerde abzuweisen ist.</w:t>
      </w:r>
    </w:p>
    <w:p>
      <w:r>
        <w:t>4.Â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 (auf dem Rechtshilfeweg)</w:t>
      </w:r>
    </w:p>
    <w:p>
      <w:r>
        <w:t>- Sozialversicherungsanstalt des Kantons ZÃ¼rich, IV-Stelle, unter Beilage der Kopien von Urk. 9, Urk. 11 und Urk. 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