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IV.2010.01061 vom 26. März 2012</w:t>
      </w:r>
    </w:p>
    <w:p>
      <w:r>
        <w:t>ZH Sozialversicherungsgericht, 2012-03-26, DE</w:t>
      </w:r>
    </w:p>
    <w:p>
      <w:r>
        <w:rPr>
          <w:b/>
        </w:rPr>
        <w:t xml:space="preserve">Quelle: </w:t>
      </w:r>
      <w:r>
        <w:t>https://mcp.opencaselaw.ch/entscheid/zh_sozialversicherungsgericht_IV.2010.01061</w:t>
      </w:r>
    </w:p>
    <w:p>
      <w:r>
        <w:t>FR: ZH_SOZIALVERSICHERUNGSGERICHT IV.2010.01061 du 26 mars 2012</w:t>
      </w:r>
    </w:p>
    <w:p>
      <w:r>
        <w:t>IT: ZH_SOZIALVERSICHERUNGSGERICHT IV.2010.01061 del 26 marzo 2012</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Anspruch auf eine Rente haben gemÃ¤ss Art. 28 Abs. 1 IVG Versicherte, die ihre ErwerbsfÃ¤higkeit nicht durch zumutbare Eingliederungsmassnahmen wieder herstellen, erhalten oder verbessern kÃ¶nnen (lit. a), wÃ¤hrend eines Jahres ohne wesentlichen Unterbruch durchschnittlich mindestens 40 Prozent arbeitsunfÃ¤hig gewesen sind (lit. b) und nach Ablauf dieses Jahres mindestens 40 Prozent invalid sind (lit. c). Der Rentenanspruch entsteht jedoch frÃ¼hestens nach Ablauf von sechs Monaten nach Geltendmachung des Leistungsanspruchs (Art. 29 Abs. 1 IVG).</w:t>
      </w:r>
    </w:p>
    <w:p>
      <w:r>
        <w:t>Â Â Â Â Â Â Â Â  GemÃ¤ss Art. 29 bis der Verordnung Ã¼ber die Invalidenversicherung (IVV) werden bei der Berechnung der 1-jÃ¤hrigen Wartezeit nach Art. 28 Abs. 1 lit. b IVG frÃ¼her zurÃ¼ckgelegte Zeiten angerechnet, wenn eine Rente nach Verminderung des InvaliditÃ¤tsgrades aufgehoben wurde, aber in den drei darauf folgenden Jahren die auf dasselbe Leiden zurÃ¼ckzufÃ¼hrende ArbeitsunfÃ¤higkeit erneut ein rentenbegrÃ¼ndendes Ausmass erreicht.</w:t>
      </w:r>
    </w:p>
    <w:p>
      <w:r>
        <w:t>Art. 29 bis IVV zielt darauf ab, dass beim Wiederaufleben der InvaliditÃ¤t nach Aufhebung der Rente eine versicherte Person unter bestimmten Voraussetzungen (zeitlicher Konnex zwischen Aufhebung der Rente und Neuanmeldung; ArbeitsunfÃ¤higkeit in rentenbegrÃ¼ndendem Ausmass bedingt durch gleiches Leiden) die im Rahmen der erstmaligen Rentenzusprechung bereits bestandene Wartezeit nicht ein zweites Mal erfÃ¼llen muss (BGE 117 V 24 E. 3a; vgl. Urteil des damaligen EidgenÃ¶ssischen Versicherungsgerichtes I 11/00 vom 22. August 2001 E. 3c-d mit Hinweisen). Die Bestimmung ist auch anwendbar, wenn der (erste) Rentenanspruch nur deshalb nicht bestand, weil die versicherte Person den Anspruch verspÃ¤tet geltend gemacht hatte. Dadurch soll vermieden werden, dass diese durch eine verspÃ¤tete Anmeldung gleichsam doppelt bestraft wird (BGE 117 V 23; vgl. Urteil des Bundesgerichts I 73/05 vom 13. September 2006 E. 6.3).</w:t>
      </w:r>
    </w:p>
    <w:p>
      <w:r>
        <w:t>2.3Â Â Â Â  Sodann haben Versicherte unter verschiedenen Voraussetzungen Anspruch auf Integrationsmassnahmen (Art. 14a IVG) und auf Massnahmen beruflicher Art, die unter anderem in Berufsberatung (Art. 15 IVG), Umschulung (Art. 17 IVG) und Arbeitsvermittlung (Art. 18 IVG) bestehen.</w:t>
      </w:r>
    </w:p>
    <w:p>
      <w:r>
        <w:rPr>
          <w:b/>
        </w:rPr>
        <w:t>E. 3</w:t>
      </w:r>
    </w:p>
    <w:p>
      <w:r>
        <w:t>3.1Â Â Â Â  Unbestritten und erstellt ist, dass der BeschwerdefÃ¼hrer vom 14. September 2007 bis zum 30. November 2008 aufgrund des follikulÃ¤ren Lymphoms und der damit zusammenhÃ¤ngenden (Chemo-)Therapien zu 100 % arbeitsunfÃ¤hig war. Da er sich jedoch erst am 27. August 2009 bei der Invalidenversicherung zum Leistungsbezug angemeldet hat, konnte fÃ¼r diese Zeit keine Rente ausgerichtet werden. Ein allfÃ¤lliger Rentenanspruch konnte gemÃ¤ss Art. 29 Abs. 1 IVG erst sechs Monate nach der Anmeldung, also am 27. Februar 2010 entstehen, falls der BeschwerdefÃ¼hrer in diesem Zeitpunkt zu mindestens 40 Prozent in der ErwerbsfÃ¤higkeit eingeschrÃ¤nkt war. Dies hat die IV-Stelle gestÃ¼tzt auf den Bericht des behandelnden Arztes Dr. med. B.___, Oberarzt Onkologie im Spital C.___, vom 12. Februar 2010 (Urk. 9/15) und die Untersuchung durch med. pract. A.___ vom 20. Mai 2010 (Urk. 9/20 und 9/21) mit der BegrÃ¼ndung verneint, seit dem 1. Dezember 2008 sei der BeschwerdefÃ¼hrer in seiner angestammten und in jeder anderen angepassten TÃ¤tigkeit uneingeschrÃ¤nkt arbeitsfÃ¤hig.</w:t>
      </w:r>
    </w:p>
    <w:p>
      <w:r>
        <w:t>3.2Â Â Â Â  Der BeschwerdefÃ¼hrer bringt dazu vor, dass er ab dem 1. Dezember 2008 zwar versucht habe, seine Arbeit wieder aufzunehmen. Da sein Gesundheitszustand jedoch sehr labil gewesen sei und er viele AusfÃ¤lle gehabt habe, habe er seine damalige Arbeitsstelle Ende Mai 2009 verloren und auch spÃ¤tere EinsÃ¤tze im Rahmen von arbeitsmarktlichen Massnahmen seien geprÃ¤gt gewesen von vielen gesundheitlich begrÃ¼ndeten AusfÃ¤llen. Er sei nach wie vor in physischer wie auch psychischer Hinsicht nicht erwerbsfÃ¤hig und gehe davon aus, dass auch seine derzeitigen UnfÃ¤lle auf die allgemeine SchwÃ¤che zurÃ¼ckzufÃ¼hren seien (Urk. 1).</w:t>
      </w:r>
    </w:p>
    <w:p>
      <w:r>
        <w:rPr>
          <w:b/>
        </w:rPr>
        <w:t>E. 4</w:t>
      </w:r>
    </w:p>
    <w:p>
      <w:r>
        <w:t>4.1Â Â Â Â  Im Bericht vom 12. Februar 2010 (Urk. 9/15) fÃ¼hrte der behandelnde Onkologe Dr. B.___ aus, dass von September 2007 bis Februar 2008 acht Zyklen Chemotherapie durchgefÃ¼hrt worden seien, dass sich das Lymphom gegenwÃ¤rtig in Remission befinde und dass sich der BeschwerdefÃ¼hrer alle zwei Monate einer Immuno-Erhaltungstherapie unterziehe. In Bezug auf die ArbeitsfÃ¤higkeitÂ  attestierte er eine 100%ige EinschrÃ¤nkung ab dem 14. September 2007 und eine vollumfÃ¤ngliche ArbeitsfÃ¤higkeit seit dem 1. Dezember 2008 mit dem Hinweis, die Chemotherapie habe eine schwere und anhaltende BeeintrÃ¤chtigung der LeistungsfÃ¤higkeit bewirkt; aktuell bestehe wohl keine EinschrÃ¤nkung mehr.</w:t>
      </w:r>
    </w:p>
    <w:p>
      <w:r>
        <w:t>Â Â Â Â Â Â Â Â  Die IV-Stelle erblickte in dieser Aussage einen Widerspruch, weshalb sie den BeschwerdefÃ¼hrer durch med. pract. A.___ untersuchen liess. Diese stellte ausser einer vergrÃ¶sserten SchilddrÃ¼se und einem kleinen Lymphknoten am Hals keine Befunde fest (Urk. 9/21), beschrieb einen guten kÃ¶rperlichen Allgemeinzustand und hielt fest, dass sie, obwohl der BeschwerdefÃ¼hrer Ã¼ber eine allgemeine "Schlappheit" klage, keinen Grund fÃ¼r eine ArbeitsunfÃ¤higkeit erkennen kÃ¶nne (Urk. 9/20).</w:t>
      </w:r>
    </w:p>
    <w:p>
      <w:r>
        <w:t>4.2Â Â Â Â  Es besteht kein Anlass, an diesen medizinischen Aussagen zu zweifeln, so dass ab Dezember 2008, als der Chemotherapie-Zyklus beendet war, wieder von einer vollen ArbeitsfÃ¤higkeit auszugehen ist, auch wenn der BeschwerdefÃ¼hrer sich subjektiv noch angeschlagen fÃ¼hlte. Die ab Dezember 2008 Ã¤rztlich bestÃ¤tigten ArbeitsunfÃ¤higkeiten von wenigen Tagen pro Monat (Urk. 9/9 S. 9-12 und S. 23 f.) bestÃ¤tigen diese Annahme, und auch die vom BeschwerdefÃ¼hrer im Beschwerdeverfahren eingereichte Zusammenstellung der ArbeitsunfÃ¤higkeitstage ab November 2009 bis Juni 2010 durch Dr. med. D.___ (Urk. 3), die ebenfalls pro Monat jeweils nur wenige Krankheitstage ausweist, lÃ¤sst keinen anderen Schluss zu.</w:t>
      </w:r>
    </w:p>
    <w:p>
      <w:r>
        <w:t>Â Â Â Â Â Â Â Â  Damit ist fÃ¼r die Zeit vom 1. Dezember 2008 bis zum Erlass der angefochtenen VerfÃ¼gung vom 23. September 2010 keine erneute, ununterbrochen drei Monate andauernde ArbeitsunfÃ¤higkeit ausgewiesen, weshalb die IV-Stelle einen Rentenanspruch zu Recht verneint hat. Berufliche Eingliederungsmassnahmen waren bei dieser Sachlage nicht angezeigt, wie die IV-Stelle in der angefochtenen VerfÃ¼gung ebenfalls richtig festgehalten hat.</w:t>
      </w:r>
    </w:p>
    <w:p>
      <w:r>
        <w:t>Â Â Â Â Â Â Â Â  Damit erweist sich die VerfÃ¼gung vom 23. September 2010 als korrekt und die Beschwerde ist abzuweisen.</w:t>
      </w:r>
    </w:p>
    <w:p>
      <w:r>
        <w:t>5.Â Â Â Â Â Â  Das mit Eingabe vom 8. Oktober 2010 angehobene Verfahren ist zulasten des unterliegenden BeschwerdefÃ¼hrers kostenpflichtig und bleibt ausgangsgemÃ¤ss entschÃ¤digungsfrei (Â§ 33 f. des Gesetzes Ã¼ber das Sozialversicherungsgericht [GSVGer] in Verbindung mit Art. 69 Abs. 1 bis IVG und Art. 61 lit. g ATSG).</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