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IV.2010.01040 vom 28. Juni 2012</w:t>
      </w:r>
    </w:p>
    <w:p>
      <w:r>
        <w:t>ZH Sozialversicherungsgericht, 2012-06-28, DE</w:t>
      </w:r>
    </w:p>
    <w:p>
      <w:r>
        <w:rPr>
          <w:b/>
        </w:rPr>
        <w:t xml:space="preserve">Quelle: </w:t>
      </w:r>
      <w:r>
        <w:t>https://mcp.opencaselaw.ch/entscheid/zh_sozialversicherungsgericht_IV.2010.01040</w:t>
      </w:r>
    </w:p>
    <w:p>
      <w:r>
        <w:t>FR: ZH_SOZIALVERSICHERUNGSGERICHT IV.2010.01040 du 28 juin 2012</w:t>
      </w:r>
    </w:p>
    <w:p>
      <w:r>
        <w:t>IT: ZH_SOZIALVERSICHERUNGSGERICHT IV.2010.01040 del 28 giugno 2012</w:t>
      </w:r>
    </w:p>
    <w:p>
      <w:pPr>
        <w:pStyle w:val="Heading2"/>
      </w:pPr>
      <w:r>
        <w:t>Erwägungen</w:t>
      </w:r>
    </w:p>
    <w:p>
      <w:r>
        <w:rPr>
          <w:b/>
        </w:rPr>
        <w:t>E. 3</w:t>
      </w:r>
    </w:p>
    <w:p>
      <w:r>
        <w:t>3.1Â Â Â Â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 2c mit Hinweisen; AHI 1997 S. 288 ff. E. 2b, 1996 S. 197 f. E. 1c je mit Hinweisen).</w:t>
      </w:r>
    </w:p>
    <w:p>
      <w:r>
        <w:t>Â Â Â Â 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 2, 122 V 158 E. 1a, je mit Hinweisen; vgl. BGE 130 I 183 E. 3.2).Â Â Â</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 3b mit Hinweisen).</w:t>
      </w:r>
    </w:p>
    <w:p>
      <w:r>
        <w:t>3.2Â Â Â Â  Die heute 46-jÃ¤hrige BeschwerdefÃ¼hrerin verfÃ¼gt Ã¼ber einen Gymnasiumabschluss und ein Studium fÃ¼r kaufmÃ¤nnische TÃ¤tigkeiten (Abschluss 1993). Sie lebte von Juli 1993 bis Mai 1995 in A.___, wo sie keine Anstellung fand, jedoch die Buchhaltung des Restaurants ihres Ehemannes fÃ¼hrte. Von Mai 1995 bis Dezember 1996 kehrte sie nach Y.___ zurÃ¼ck und arbeitete dort bis zur Geburt ihrer Tochter im Juli 1996 halbtags als kaufmÃ¤nnische Angestellte. Seit ihrer Einreise in die Schweiz im Dezember 1996 ging sie vom Mai 1999 bis April 2000 einer vollzeitlichen und seit Dezember 2004 einer teilzeitlichen (50 %) ErwerbstÃ¤tigkeit nach. Im Jahr 2007 erreichte ihr Ehemann das ordentliche AHV-Rentenalter und die Familie reiste nach Y.___ aus. Im Jahr 2009 kehrten sie zurÃ¼ck, die 14-jÃ¤hrige Tochter besucht seitdem das Langzeitgymnasium und die BeschwerdefÃ¼hrerin meldete sich bei der IV-Stelle an.</w:t>
      </w:r>
    </w:p>
    <w:p>
      <w:r>
        <w:t>3.3Â Â Â Â  GestÃ¼tzt auf das Urteil vom 26. Oktober 2006 hat die BeschwerdefÃ¼hrerin ihre Anstellung bei der Z.___ AG gekÃ¼ndigt, weil sie sich um die Erziehung ihrer Tochter kÃ¼mmern wollte. In der Beschwerde wird nun geltend gemacht, dass einerseits der Ehemann, da er nicht mehr arbeite, die Betreuungsaufgabe der Tochter wahrnehmen kÃ¶nne und andererseits durch die Einschulung in das Langzeitgymnasium die Tochter auch weniger betreut werden mÃ¼sse. Aus dem AbklÃ¤rungsbericht fÃ¼r den Haushalt vom 10. Mai 2010 (Urk. 11/95) ergibt sich, dass die BeschwerdefÃ¼hrerin zwar bestrebt sei, eine Anstellung zu erhalten, in ihrer Suche bisher jedoch erfolglos war. Aus finanziellen GrÃ¼nden versuche sie eine 100 % Stelle zu finden, habe es jedoch infolge Absagen auch mit 50 % Stellen versucht. Die AbklÃ¤rungsperson stellte in ihrem Bericht einige Ungereimtheiten wegen der Bewerbungen fest, so habe die BeschwerdefÃ¼hrerin lediglich zwei Absagen Ã¼ber eine Zeitspanne von einem halben Jahr vorweisen kÃ¶nnen und sie habe keine aktuellen Bewerbungsunterlagen zeigen kÃ¶nnen. Die AbklÃ¤rungsperson kam deshalb im Bericht zum Schluss, dass sich die BeschwerdefÃ¼hrerin nicht wirklich um eine Anstellung bemÃ¼he, weshalb sie lediglich von einer 60%igen ErwerbstÃ¤tigkeit wie im Jahr 2005 ausgehe. Die EinschrÃ¤nkung im Haushalt betrage 8.15 %, was bei einem Anteil von 40 % im Haushaltbereich einen InvaliditÃ¤tsgrad von 3.26 % ergebe.</w:t>
      </w:r>
    </w:p>
    <w:p>
      <w:r>
        <w:t>3.4Â Â Â Â  In der Folge reichte die BeschwerdefÃ¼hrerin der IV-Stelle verschiedene Unterlagen ein, mit welchen sie die Ernsthaftigkeit ihrer Bewerbungen belegen wollte. Die IV-Stelle vertritt hierbei die Ansicht, dass es sich um Bewerbungen handelt, welche mehrheitlich nach dem AbklÃ¤rungsbericht vor Ort erfolgt seien. Der AbklÃ¤rungsbericht datiert vom 10. Mai 2010, wÃ¤hrend die AbklÃ¤rung selber am 20. April 2010 stattfand. GestÃ¼tzt auf die eingereichten Unterlagen werden die AusfÃ¼hrungen der Verwaltung nicht bestÃ¤tigt, da einige Bewerbungen vor der AbklÃ¤rung stattfanden. Insgesamt ist sodann die heutige Situation wesentlich verÃ¤ndert durch die Tatsache, dass der Ehemann in der Zwischenzeit im Rentenalter ist und die 14-jÃ¤hrige Tochter das Gymnasium besucht und deshalb weniger Betreuung bedarf. Ferner verstÃ¤rkt die finanzielle Situation die Notwendigkeit einer Stellenaufnahme, weshalb vorliegend Ã¼berwiegend wahrscheinlich ist, dass die BeschwerdefÃ¼hrerin heute als zu 100 % ErwerbstÃ¤tige zu qualifizieren ist.</w:t>
      </w:r>
    </w:p>
    <w:p>
      <w:r>
        <w:t>4.Â Â Â Â Â Â</w:t>
      </w:r>
    </w:p>
    <w:p>
      <w:r>
        <w:t>4.1Â Â Â Â  BezÃ¼glich der ArbeitsunfÃ¤higkeit geht die BeschwerdefÃ¼hrerin von einer 50%igen EinschrÃ¤nkung aus, wÃ¤hrend die IV-Stelle eine 20%ige ArbeitsunfÃ¤higkeit annimmt. Aus dem einzigen im Recht liegenden Bericht des behandelnden Arztes Dr. med. B.___, Facharzt fÃ¼r Neurologie, vom 11. Juli 2010 (Urk. 11/98), geht tatsÃ¤chlich lediglich eine EinschrÃ¤nkung von 20 % hervor. Trotz Aufforderung der IV-Stelle wurden keine anders lautenden Berichte nachgereicht. Zwar bemÃ¼hte sich die BeschwerdefÃ¼hrerin gemÃ¤ss AbklÃ¤rungsbericht, um Stellen zu einem 100 % Pensum und auch in der Anmeldung bei der Arbeitslosenversicherung (Urk. 11/96) stellte sie sich zu 100 % der Arbeitsvermittlung zur VerfÃ¼gung, dennoch kann bei ihrem seit der Kindheit bestehenden Gesundheitsschaden im Rahmen einer Neuanmeldung nicht von einem verbesserten Gesundheitszustand ausgegangen werden. Denn eine unterschiedliche EinschÃ¤tzung der ArbeitsfÃ¤higkeit bei einem im Wesentlichen unverÃ¤ndert gebliebenen Gesundheitszustand vermag fÃ¼r sich allein genommen keinen Revisionsgrund darzustellen (Urteil des Bundesgerichts vom 3. April 2008 E. 3.2 [9C_733/2007]).</w:t>
      </w:r>
    </w:p>
    <w:p>
      <w:r>
        <w:t>4.2Â Â Â Â  Der Einkommensvergleich gemÃ¤ss Art. 28 Abs. 2 IVG (seit 1. Januar 2003: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 1; AHI 2000 S. 309 E.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 3a mit Hinweisen; Urteile des EidgenÃ¶ssischen Versicherungsgerichtes vom 21. August 2006, I 850/05, E. 4.2 und vom 2. Dezember 2005, I 375/05, E. 3.2). GestÃ¼tzt auf die Tatsache, dass die Versicherte gemÃ¤ss Arztbericht vom 11. Juli 2010 die angestammten TÃ¤tigkeit mit einer EinschrÃ¤nkung von 20 % auszuÃ¼ben vermag, demnach gemÃ¤ss den Rechtsprinzipien bei der Neuanmeldung jedoch von einer 50%igen ArbeitsunfÃ¤higkeit in der angestammten TÃ¤tigkeit auszugehen ist, da sich der Gesundheitsschaden nicht wesentlich verÃ¤ndert hat, betrÃ¤gt der InvaliditÃ¤tsgrad 50 %, womit der Anspruch auf eine halbe Rente der Invalidenversicherung begrÃ¼ndet ist. Die BeschwerdefÃ¼hrerin meldete sich am 15. Dezember 2009 zum Leistungsbezug erneut an, womit die sechsmonatige Frist gemÃ¤ss Art. 29 Abs. 1 IVG in der ab Januar 2008 gÃ¼ltigen Fassung Mitte Juni 2010 endete und der Rentenbeginn auf den 1. Juni 2010 festzusetzen ist.</w:t>
      </w:r>
    </w:p>
    <w:p>
      <w:r>
        <w:rPr>
          <w:b/>
        </w:rPr>
        <w:t>E. 5</w:t>
      </w:r>
    </w:p>
    <w:p>
      <w:r>
        <w:t>5.1Â Â Â Â  Da der Streitgegenstand die Bewilligung oder Verweigerung von Versicherungsleistungen betrifft, ist das Verfahren kostenpflichtig. Die Gerichtskosten sind nach dem Verfahrensaufwand und unabhÃ¤ngig vom Streitwert festzulegen (Art. 69 Abs. 1 bis IVG) und ermessensweise auf Fr. 1'000.-- anzusetzen. Entsprechend dem Ausgang des Verfahrens sind sie der Beschwerdegegnerin aufzuerlegen. Damit erweist sich das Gesuch um unentgeltliche ProzessfÃ¼hrung als gegenstandslos.</w:t>
      </w:r>
    </w:p>
    <w:p>
      <w:r>
        <w:t>5.2Â Â Â Â  AusgangsgemÃ¤ss steht der BeschwerdefÃ¼hrerin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2Â300.-- (inkl. Mehrwertsteuer und Barauslagen) festzusetzen ist.</w:t>
      </w:r>
    </w:p>
    <w:p>
      <w:r>
        <w:t>Das Gericht erkennt:</w:t>
      </w:r>
    </w:p>
    <w:p>
      <w:r>
        <w:t>1.Â Â Â Â Â Â Â Â  In Gutheissung der Beschwerde wird die VerfÃ¼gung der IV-Stelle vom 8. Oktober 2010 aufgehoben, und es wird festgestellt, dass die BeschwerdefÃ¼hrerin Anspruch auf eine halbe Rente der Invalidenversicherung ab 1. Juni 2010 hat.</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2Â300.-- (inkl. Barauslagen und MWSt) zu bezahlen.</w:t>
      </w:r>
    </w:p>
    <w:p>
      <w:r>
        <w:t>4.Â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