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IV.2010.00990 vom 21. Dezember 2010</w:t>
      </w:r>
    </w:p>
    <w:p>
      <w:r>
        <w:t>ZH Sozialversicherungsgericht, 2010-12-21, DE</w:t>
      </w:r>
    </w:p>
    <w:p>
      <w:r>
        <w:rPr>
          <w:b/>
        </w:rPr>
        <w:t xml:space="preserve">Quelle: </w:t>
      </w:r>
      <w:r>
        <w:t>https://mcp.opencaselaw.ch/entscheid/zh_sozialversicherungsgericht_IV.2010.00990</w:t>
      </w:r>
    </w:p>
    <w:p>
      <w:r>
        <w:t>FR: ZH_SOZIALVERSICHERUNGSGERICHT IV.2010.00990 du 21 décembre 2010</w:t>
      </w:r>
    </w:p>
    <w:p>
      <w:r>
        <w:t>IT: ZH_SOZIALVERSICHERUNGSGERICHT IV.2010.00990 del 21 dicembre 2010</w:t>
      </w:r>
    </w:p>
    <w:p>
      <w:pPr>
        <w:pStyle w:val="Heading2"/>
      </w:pPr>
      <w:r>
        <w:t>Erwägungen</w:t>
      </w:r>
    </w:p>
    <w:p>
      <w:r>
        <w:rPr>
          <w:b/>
        </w:rPr>
        <w:t>E. 4</w:t>
      </w:r>
    </w:p>
    <w:p>
      <w:r>
        <w:t>4.1Â Â Â Â  Das hiesige Gericht stellte fest, das A.___-Gutachten sei umfassend, beruhe auf allseitigen Untersuchungen, berÃ¼cksichtige die medizinischen Vorakten ebenso wie die geklagten Beschwerden und setze sich mit diesen und dem Verhalten der BeschwerdefÃ¼hrerin auseinander. Es leuchte in der Darlegung der medizinischen ZusammenhÃ¤nge und in der Beurteilung der medizinischen Situation ein, und die darin gezogenen Schlussfolgerungen seien begrÃ¼ndet, weshalb es alle rechtsprechungsgemÃ¤ss erforderlichen Kriterien fÃ¼r beweiskrÃ¤ftige Ã¤rztliche Entscheidungsgrundlagen (vgl. BGE 134 V 231 Erw. 5.1, 125 V 352 Erw. 3a, 122 V 160 Erw. 1c) erfÃ¼lle. Insbesondere werde einleuchtend und nachvollziehbar dargelegt, dass die von Dr. Z.___ und den Ã¼brigen konsultierten Ãrzten attestierte ArbeitsunfÃ¤higkeit von 50 % und mehr mangels einer objektivierbaren Pathologie in den krankheitsfreien Intervallen nicht nachvollziehbar sei und die BeschwerdefÃ¼hrerin wÃ¤hrend der KrankheitsschÃ¼be aufgrund der auftretenden Symptome zu 100 %, dazwischen jedoch lediglich zu 15 % arbeitsunfÃ¤hig sei. Daran Ã¤ndere auch die Tatsache nichts, dass trotz vielseitiger Untersuchungen bisher keine abschliessende Diagnose habe gestellt werden kÃ¶nnen.</w:t>
      </w:r>
    </w:p>
    <w:p>
      <w:r>
        <w:t>Â Â Â Â Â Â Â Â  Die am 17. September 2008 festgestellten degenerativen VerÃ¤nderungen in der HalswirbelsÃ¤ule (Urk. 3/4) sowie die am 22. Oktober 2008 im Computertomogramm des Thorax erhobenen degenerativen VerÃ¤nderungen des Sternoclaviculargelenks (Urk. 3/3) fÃ¼hrten ebenfalls zu keiner anderen Beurteilung. Denn einerseits habe die BeschwerdefÃ¼hrerin nie Ã¼ber Gelenk- oder Nackenschmerzen geklagt, so dass nicht von einer massgeblichen BeeintrÃ¤chtigung durch die degenerativen VerÃ¤nderungen auszugehen sei, und anderseits handle es sich bei der TÃ¤tigkeit der BeschwerdefÃ¼hrerin als GeschÃ¤ftsfÃ¼hrerin um eine kÃ¶rperlich wenig anstrengende Arbeit, bei der sich die degenerativen VerÃ¤nderungen nicht zusÃ¤tzlich auf die ArbeitsfÃ¤higkeit auswirkten.</w:t>
      </w:r>
    </w:p>
    <w:p>
      <w:r>
        <w:t>Im Rahmen der Begutachtung durch das A.___ habe die BeschwerdefÃ¼hrerin angegeben, dass es etwa ein bis drei Mal pro Jahr zu einem Schub komme (Urk. 8/47 S. 6). Aus der von ihr eingereichten Aufstellung gehe sodann hervor, dass sie im Jahre 2008 etwa zwei Mal im Monat wÃ¤hrend jeweils drei bis zehn Tagen Medikamente habe einnehmen mÃ¼ssen (Urk. 3/5). Dieser EinschrÃ¤nkung sei im Gutachten anhand der um 15 % verminderten ArbeitsfÃ¤higkeit Rechnung getragen worden. Ansonsten sei gemÃ¤ss ihrer Aussage im Rahmen der Begutachtung, wo sie konkrete Angaben zu den Daten der seit Januar 2004 aufgetretenen SchÃ¼ben gemacht habe, und in Ãbereinstimmung mit der Feststellung durch Dr. Z.___ im Dezember 2005, dass der letzte Schub im Januar 2005 aufgetreten sei (Urk. 8/13), davon auszugehen, dass pro Jahr ungefÃ¤hr drei KrankheitsschÃ¼be auftrÃ¤ten.</w:t>
      </w:r>
    </w:p>
    <w:p>
      <w:r>
        <w:t>Â Â Â Â Â Â Â Â  Zusammenfassend sei festzuhalten, dass die BeschwerdefÃ¼hrerin noch zu 85 % arbeitsfÃ¤hig sei. Da es fÃ¼r eine InvaliditÃ¤t grundsÃ¤tzlich einer bleibenden oder lÃ¤ngere Zeit dauernden ErwerbsunfÃ¤higkeit bedÃ¼rfe, sei die etwa drei Mal pro Jahr wÃ¤hrend ungefÃ¤hr fÃ¼nf Tagen bestehende volle ArbeitsunfÃ¤higkeit diesbezÃ¼glich nicht von Relevanz.</w:t>
      </w:r>
    </w:p>
    <w:p>
      <w:r>
        <w:rPr>
          <w:b/>
        </w:rPr>
        <w:t>E. 4.2</w:t>
      </w:r>
    </w:p>
    <w:p>
      <w:r>
        <w:t>4.2.1Â Â  Die Beurteilung durch Dr. B.___ weicht insoweit nicht von den durch die A.___-Gutachter erhobenen Befunden ab, als sowohl Dr. B.___ als auch die A.___-Gutachter Ã¼bereinstimmend davon ausgehen, dass die BeschwerdefÃ¼hrerin an einem Erkrankungssyndrom unklarer Ãtiologie (ICD-10 M35.9) leidet. Dr. B.___ kritisierte jedoch, die von den A.___-Gutachtern diagnostizierte SchmerzverarbeitungsstÃ¶rung sei fÃ¼r ihn nicht ganz nachvollziehbar. Aufgrund des A.___-Gutachtens resultiert daraus aber ohnehin kein Einfluss auf die ArbeitsfÃ¤higkeit, weshalb die diesbezÃ¼glichen Differenzen unerheblich sind. Es verbleibt damit einzig die Uneinigkeit hinsichtlich der ArbeitsfÃ¤higkeit der BeschwerdefÃ¼hrerin.</w:t>
      </w:r>
    </w:p>
    <w:p>
      <w:r>
        <w:rPr>
          <w:b/>
        </w:rPr>
        <w:t>E. 4.2.2</w:t>
      </w:r>
    </w:p>
    <w:p>
      <w:r>
        <w:t>Â  Die von der BeschwerdefÃ¼hrerin geschilderten subjektiven Beschwerden konnte Dr. B.___ anhand seiner neurologischen Untersuchung in keiner Hinsicht objektivieren. Er schilderte, dass im Rahmen seiner Untersuchung in der postakuten Phase lediglich erhÃ¶hte Druckdolenzen Ã¼ber den Trigeminusaustrittsstellen sowie Triggerpunkten am Kopf und nuchal festgestellt werden konnten, welche bei Kopfschmerzen hÃ¤ufig vorhanden seien. Im Ãbrigen hÃ¤tten sich in der neurologischen Untersuchung keine Defizite im Bereich der Motorik, der SensibilitÃ¤t oder der koordinativen FÃ¤higkeiten ergeben. FÃ¼r eine ausgedehnte neuropsychologische Untersuchung fehle zur Zeit eine Fragestellung. Dr. B.___ vermochte damit auch keine relevanten EinschrÃ¤nkungen zu benennen, welche die ArbeitsfÃ¤higkeit in dem von ihm vertretenen Mass nachvollziehbar begrÃ¼nden kÃ¶nnten.</w:t>
      </w:r>
    </w:p>
    <w:p>
      <w:r>
        <w:t>4.2.3Â Â  Nach Ã¼bereinstimmender Auffassung von Dr. B.___ wie auch von den A.___-Gutachtern ist die BeschwerdefÃ¼hrerin wÃ¤hrend eines akuten Krankheitsschubs zu 100 % arbeitsunfÃ¤hig. Die Hauptursache fÃ¼r die unterschiedliche Bewertung der verbleibenden ArbeitsfÃ¤higkeit liegt denn auch vorab darin, dass Dr. B.___ seiner EinschÃ¤tzung eine wesentlich hÃ¶here Zahl von jÃ¤hrlichen KrankheitsschÃ¼ben zugrunde legte. Den Angaben der BeschwerdefÃ¼hrerin folgend ging er von einem Schub alle acht Wochen und damit einer Zahl von etwa sechs SchÃ¼ben pro Jahr gegenÃ¼ber den im A.___-Gutachten erwÃ¤hnten ein bis drei SchÃ¼ben pro Jahr aus.</w:t>
      </w:r>
    </w:p>
    <w:p>
      <w:r>
        <w:t>Â Â Â Â Â Â Â Â  Wie das Bundesgericht jedoch unter Verweis auf die eigenen Angaben der BeschwerdefÃ¼hrerin anlÃ¤sslich der Begutachtung durch das A.___ sowie aufgrund der Aktenlage festhielt, hat das hiesige Gericht willkÃ¼rfrei festgestellt, dass die KrankheitsschÃ¼be der BeschwerdefÃ¼hrerin etwa ein bis drei Mal jÃ¤hrlich auftreten (Erw. 5.1).</w:t>
      </w:r>
    </w:p>
    <w:p>
      <w:r>
        <w:t>4.2.4Â Â  Ebenfalls Ã¼bereinstimmend gingen Dr. B.___ und die A.___-Gutachter davon aus, dass die BeschwerdefÃ¼hrerin in den Zeiten zwischen den KrankheitsschÃ¼ben weitgehend beschwerdefrei ist, jedoch Ã¼ber rasche ErmÃ¼dbarkeit, mangelnde Konzentration und reduzierte LeistungsfÃ¤higkeit klagt. WÃ¤hrend in der psychiatrischen Untersuchung im Rahmen der A.___-Begutachtung diese Feststellungen der BeschwerdefÃ¼hrerin vorab auf deren KrankheitsÃ¼berzeugung und Selbstlimitierung zurÃ¼ckgefÃ¼hrt wurden, schloss Dr. B.___ diesbezÃ¼glich auf ein Fatigue-Syndrom und zog die Analogie zu einem postviralen Syndrom. Gleichzeitig gestand er jedoch ein, dass ein solches nur schwer objektivierbar sei.</w:t>
      </w:r>
    </w:p>
    <w:p>
      <w:r>
        <w:t>Â Â Â Â Â Â Â Â  Aufgrund der von ihm gezogenen Analogie ist davon auszugehen, dass er das Fatique-Syndrom vorab in einem engen zeitlichen Konnex mit den akuten Phasen verortete. Da er jedoch von einer zu hohen Kadenz der KrankheitsschÃ¼be ausging, reduziert sich auch die ErklÃ¤rbarkeit eines Fatigue-Syndroms.</w:t>
      </w:r>
    </w:p>
    <w:p>
      <w:r>
        <w:t>Â Â Â Â Â Â Â Â  Daneben ist ebenfalls zu beachten, dass gemÃ¤ss bundesgerichtlicher Rechtsprechung das Chronic Fatigue Syndrome (CFS, chronisches MÃ¼digkeitssyndrom) den somatoformen StÃ¶rungen zuzurechnen ist und in den gleichen Syndromenkomplex gehÃ¶rt wie KonversionsstÃ¶rungen, SomatisierungsstÃ¶rungen, SchmerzstÃ¶rungen, Hypochondrie u.a.m. Wie bei der Fibromyalgie ist die Ãtiologie des chronischen MÃ¼digkeitssyndroms unbekannt. Zusammen mit dem Reizdarmsyndrom stellen MÃ¼digkeitssyndrom und Fibromyalgiesyndrom (FMS) eine Symptomeneinheit dar, bei der je nach Verlauf entweder die fÃ¼r das FMS oder das CFS oder das Reizdarmsyndrom typischen klinischen Zeichen im Vordergrund stehen kÃ¶nnen. Bei allen drei Zustandsbildern lassen sich Ã¤hnliche vegetative, funktionelle und psychische StÃ¶rungen erkennen, und auch bezÃ¼glich der Anwendung therapeutischer Strategien bestehen keine grossen Unterschiede. Sozialversicherungsrechtlich ist es geboten, sÃ¤mtliche pathogenetisch-Ã¤tiologisch unklaren syndromalen Beschwerdebilder ohne nachweisbare organische Grundlage den gleichen Anforderungen zu unterstellen. Daher finden die von der Rechtsprechung im Bereich der somatoformen SchmerzstÃ¶rungen entwickelten GrundsÃ¤tze (BGE 130 V 352 und seitherige) auf das Chronic Fatigue Syndrome analoge Anwendung (Urteil des Bundesgerichts in Sachen M. vom 14. April 2008, I 70/07, Erw. 5 mit Verweis auf Peter A. Berg, Chronisches MÃ¼digkeits- und Fibromyalgiesyndrom, 2. Aufl., Berlin usw. 2002, S. 227). Diese Rechtsprechung wurde erst kÃ¼rzlich in BGE 136 V 279, S. 281 f., Erw. 3.2.1 bestÃ¤tigt.</w:t>
      </w:r>
    </w:p>
    <w:p>
      <w:r>
        <w:t>4.2.5Â Â  Der fÃ¼r das psychiatrische Teilgutachten des A.___ zeichnende Dr. H.___, Facharzt FMH fÃ¼r Psychiatrie und Psychotherapie, Ã¤usserte sich differenziert zur SelbsteinschÃ¤tzung und benannte insbesondere die Inkonsistenzen, welche ihrerseits wiederum typisch fÃ¼r eine SchmerzverarbeitungsstÃ¶rung seien (Urk. 8/47 Ziff. 4.1.6). DarÃ¼ber hinaus hielten die Gutachter des A.___ in der Gesamtbeurteilung fest, dass die notwendige Willensanstrengung zur Ãberwindung der genannten Erscheinungen zumutbar sei (Urk. 8/47 Ziff. 6.5). Damit vermag die diesbezÃ¼glich sehr allgemein gehaltene EinschÃ¤tzung von Dr. B.___, welche die EinschrÃ¤nkungen weder konkret qualifiziert noch quantifiziert, die im Gutachten des A.___ vertretene GesamteinschÃ¤tzung einer 15%igen ArbeitsunfÃ¤higkeit nicht zu entkrÃ¤ften.</w:t>
      </w:r>
    </w:p>
    <w:p>
      <w:r>
        <w:t>4.3Â Â Â Â  Damit fÃ¼hrt auch der vom Bundesgericht verlangte Einbezug des Berichts von Dr. B.___ vom 10. Dezember 2008 in die WÃ¼rdigung des medizinischen Sachverhalts zu keinem anderen Ergebnis.</w:t>
      </w:r>
    </w:p>
    <w:p>
      <w:r>
        <w:t>5.Â Â Â Â Â Â</w:t>
      </w:r>
    </w:p>
    <w:p>
      <w:r>
        <w:t>5.1Â Â Â Â  Im Verfahren vor dem kantonalen Sozialversicherungsgericht wie auch im Verfahren vor Bundesgericht stellte sich die BeschwerdefÃ¼hrerin auf den Standpunkt, dass bei der Berechnung des InvaliditÃ¤tsgrads die Methode des BetÃ¤tigungsvergleichs zur Anwendung komme, da sie ihren Lohn selber bestimmen kÃ¶nne und dessen HÃ¶he nicht von der Arbeitsleistung abhÃ¤ngig sei.</w:t>
      </w:r>
    </w:p>
    <w:p>
      <w:r>
        <w:t>5.2Â Â Â Â  Dazu erwog das hiesige Gericht, die BeschwerdefÃ¼hrerin sei seit dem 1. Januar 1993 bei der Y.___ in der GeschÃ¤ftsleitung tÃ¤tig (Urk. 8/7). Im A.___-Gutachten werde festgehalten, dass es sich dabei unbestrittenermassen um eine wechselbelastende TÃ¤tigkeit handle, in welcher sie zwischen den KrankheitsschÃ¼ben zu 15 % eingeschrÃ¤nkt sei (Urk. 8/47 S. 15 f.). Die attestierte ArbeitsfÃ¤higkeit von 85 % beziehe sich auf alle zur TÃ¤tigkeit als GeschÃ¤ftsfÃ¼hrerin gehÃ¶renden Sparten. Da keine besonderen EinschrÃ¤nkungen in gewissen TÃ¤tigkeitsfeldern bestÃ¼nden und die hypothetischen Vergleichseinkommen ohne weiteres ermittelbar seien, fÃ¼hre sowohl der BetÃ¤tigungs- als auch der Einkommensvergleich zum gleichen Ergebnis. Der Grad der ArbeitsunfÃ¤higkeit von 15 % entspreche sodann dem Grad der ErwerbsunfÃ¤higkeit und damit dem InvaliditÃ¤tsgrad. Der fÃ¼r einen Rentenanspruch erforderliche minimale InvaliditÃ¤tsgrad von 40 % werde mit 15 % deutlich unterschritten. Ebenso verhalte es sich bei Annahme einer - wie im A.___-Gutachten vom Rheumatologen maximal veranschlagten - 20%igen ArbeitsunfÃ¤higkeit.</w:t>
      </w:r>
    </w:p>
    <w:p>
      <w:r>
        <w:t>5.3Â Â Â Â  Der Bericht von Dr. B.___ vermag auch daran nichts zu Ã¤ndern, Ã¤ussert er sich doch - wie bereits festgehalten - weder quantitativ noch qualitativ zu mÃ¶glichen EinschrÃ¤nkungen.</w:t>
      </w:r>
    </w:p>
    <w:p>
      <w:r>
        <w:t>5.4Â Â Â Â  Nachdem das Bundesgericht bezÃ¼glich diesen ErwÃ¤gungen zum Schluss kam, dass sie nicht gegen Bundesrecht verstossen (Erw. 6), hat es dabei sein Bewenden.</w:t>
      </w:r>
    </w:p>
    <w:p>
      <w:r>
        <w:t>6.Â Â Â Â Â Â  Die Beschwerde ist demnach erneut abzuweisen.</w:t>
      </w:r>
    </w:p>
    <w:p>
      <w:r>
        <w:t>7.Â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