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IV.2010.00966 vom 28. Februar 2011</w:t>
      </w:r>
    </w:p>
    <w:p>
      <w:r>
        <w:t>ZH Sozialversicherungsgericht, 2011-02-28, DE</w:t>
      </w:r>
    </w:p>
    <w:p>
      <w:r>
        <w:rPr>
          <w:b/>
        </w:rPr>
        <w:t xml:space="preserve">Quelle: </w:t>
      </w:r>
      <w:r>
        <w:t>https://mcp.opencaselaw.ch/entscheid/zh_sozialversicherungsgericht_IV.2010.00966</w:t>
      </w:r>
    </w:p>
    <w:p>
      <w:r>
        <w:t>FR: ZH_SOZIALVERSICHERUNGSGERICHT IV.2010.00966 du 28 février 2011</w:t>
      </w:r>
    </w:p>
    <w:p>
      <w:r>
        <w:t>IT: ZH_SOZIALVERSICHERUNGSGERICHT IV.2010.00966 del 28 febbraio 2011</w:t>
      </w:r>
    </w:p>
    <w:p>
      <w:pPr>
        <w:pStyle w:val="Heading2"/>
      </w:pPr>
      <w:r>
        <w:t>Erwägungen</w:t>
      </w:r>
    </w:p>
    <w:p>
      <w:r>
        <w:rPr>
          <w:b/>
        </w:rPr>
        <w:t>E. 2</w:t>
      </w:r>
    </w:p>
    <w:p>
      <w:r>
        <w:t>2.1Â Â Â Â  Vorab hat das hiesige Gericht von Amtes wegen zu prÃ¼fen, ob die Prozess-voraussetzungen erfÃ¼llt sind und somit auf die Beschwerde einzutreten ist (Â§ 28 lit. a GSVGer in Verbindung mit Art. 60 und Art. 59 Abs. 1 der Schweizerischen Zivilprozessordnung, ZPO).</w:t>
      </w:r>
    </w:p>
    <w:p>
      <w:r>
        <w:t>2.2Â Â Â Â  Zur Beschwerde ist legitimiert, wer durch die angefochtene VerfÃ¼gung berÃ¼hrt ist und ein schutzwÃ¼rdiges Interesse an deren Ãnderung hat (Art. 59 des Bundesgesetzes Ã¼ber den Allgemeinen Teil des Sozialversicherungsrechts, ATSG). ErlÃ¤sst ein VersicherungstrÃ¤ger eine VerfÃ¼gung, welche die Leistungspflicht eines anderen TrÃ¤gers berÃ¼hrt, so hat er auch ihm die VerfÃ¼gung zu erÃ¶ffnen; dieser kann die gleichen Rechtsmittel ergreifen wie die versicherte Person (Art. 49 Abs. 4 ATSG).</w:t>
      </w:r>
    </w:p>
    <w:p>
      <w:r>
        <w:t>2.3Â Â Â Â  Die IdentitÃ¤t der InvaliditÃ¤tsbemessung in der Invalidenversicherung und der (obligatorischen) beruflichen Vorsorge ist in den Art. 23 ff. des Bundesgesetzes Ã¼ber die berufliche Alters-, Hinerlassenen- und Invalidenvorsorge (BVG) verankert. GemÃ¤ss Art. 26 Abs. 1 BVG gelten fÃ¼r den Beginn des Anspruches auf eine Invalidenrente der obligatorischen beruflichen Vorsorge sinngemÃ¤ss die entsprechenden invalidenversicherungsrechtlichen Bestimmungen.</w:t>
      </w:r>
    </w:p>
    <w:p>
      <w:r>
        <w:t>Â Â Â Â Â Â Â Â  PraxisgemÃ¤ss sind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4 Erw. 3.2).</w:t>
      </w:r>
    </w:p>
    <w:p>
      <w:r>
        <w:t>Die Organe der beruflichen Vorsorge sind daher zur Beschwerde gegen die VerfÃ¼gung der IV-Stelle Ã¼ber den Rentenanspruch als solchen oder den InvaliditÃ¤tsgrad berechtigt. Die Rechtsmittelbefugnis des BVG-Versicherers setzt jedoch voraus, dass die invalidenversicherungsrechtliche Leistungszusprechung an sich beanstandet wird, sei es grundsÃ¤tzlich, der HÃ¶he nach oder hinsichtlich ihres Beginns.</w:t>
      </w:r>
    </w:p>
    <w:p>
      <w:r>
        <w:t>2.4Â Â Â Â  Die Verbindlichkeitswirkung erstreckt sich nur auf diejenigen Feststellungen und Beurteilungen im IV-Verfahren, welche dort fÃ¼r die Festlegung des Anspruchs auf eine Rente der Invalidenversicherung entscheidend waren und Ã¼ber die demnach effektiv zu befinden war; andernfalls haben die Organe der beruflichen Vorsorge die Anspruchsvoraussetzungen ihrerseits frei zu prÃ¼fen (Urteil des Bundesgerichts in Sachen Personalvorsorgestiftung X. vom 25. Juli 2008, 9C_414/2007, Erw. 2.3).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in Sachen R. vom 23. Februar 2010, 9C_49/2010 Erw. 2.1).</w:t>
      </w:r>
    </w:p>
    <w:p>
      <w:r>
        <w:t>2.5Â Â Â Â  Am 1. Januar 2008 sind im Zuge der 5. IV-Revision die Ãnderungen des Bundesgesetzes Ã¼ber die Invalidenversicherung (IVG) und anderer Erlasse in Kraft getreten. In materiellrechtlicher Hinsicht gilt der allgemeine Ã¼bergangsrechtliche Grundsatz, dass der Beurteilung jene Rechtsnormen zu Grunde zu legen sind, die im Zeitpunkt gegolten haben, als sich der zu den materiellen Rechtsfolgen fÃ¼hrende Sachverhalt verwirklicht hat (BGE 127 V 467 Erw. 1 mit Hinweisen).</w:t>
      </w:r>
    </w:p>
    <w:p>
      <w:r>
        <w:t>Somit sind fÃ¼r die Zeit bis Ende 2007 die damals geltenden Bestimmungen und ab 1. Januar 2008 die neuen Normen der 5. IV-Revision anzuwenden (BGE 132 V 215 Erw. 3.1.1).</w:t>
      </w:r>
    </w:p>
    <w:p>
      <w:r>
        <w:t>2.6Â Â Â Â  GemÃ¤ss Art. 29 Abs. 1 lit. b IVG (in Kraft gestanden bis Ende 2007) entsteht der IV-Rentenanspruch frÃ¼hestens in dem Zeitpunkt, in dem der Versicherte wÃ¤hrend eines Jahres ohne wesentlichen Unterbruch durchschnittlich mindestens zu 40 % arbeitsunfÃ¤hig (Art. 6 ATSG) gewesen war. Nach Art. 48 Abs. 2 IVG (in Kraft gestanden bis Ende 2007) werden die Leistungen alsdann lediglich fÃ¼r die zwÃ¶lf der Anmeldung vorangehenden Monate ausgerichtet.</w:t>
      </w:r>
    </w:p>
    <w:p>
      <w:r>
        <w:t>2.7Â Â Â Â  Der Beigeladene meldete sich am 25. Februar 2008 bei der Beschwerdegegnerin zum Leistungsbezug an (Urk. 7/5). Die Beschwerdegegnerin qualifizierte diese Anmeldung zum Leistungsbezug als verspÃ¤tet (Urk. 2, VerfÃ¼gungsteil 2 S. 2 unten).</w:t>
      </w:r>
    </w:p>
    <w:p>
      <w:r>
        <w:t>Vorliegend fehlt es mithin an der Verbindlichkeitswirkung des im IV-Verfahren festgestellten Beginnes der einjÃ¤hrigen Wartezeit fÃ¼r die Organe der beruflichen Vorsorge. Denn invalidenversicherungsrechtlich bestand kein Anlass, den Verlauf der ArbeitsunfÃ¤higkeit mehr als zwei Jahre vor dem Zeitpunkt der Anmeldung, also vor Februar 2006, zu prÃ¼fen.</w:t>
      </w:r>
    </w:p>
    <w:p>
      <w:r>
        <w:t>Hinsichtlich weiter zurÃ¼ckliegender Zeiten fallen daher verbindlichkeitsrechtlich massgebende Feststellungen und Beurteilungen der IV-Organe rechtsprechungsgemÃ¤ss von vornherein ausser Betracht (Urteil des Bundesgerichts in Sachen Personalvorsorgestiftung X. vom 25. Juli 2008, 9C_414/2007, Erw. 2.4). Die allein Rechtsverbindlichkeit erlangenden Dispositive der beiden VerfÃ¼gungen vom 9. September 2010 beschrÃ¤nken sich denn auch darauf, ab 1. Februar 2007 eine Viertelsrente und ab 1. Dezember 2007 eine Dreiviertelsrente zuzusprechen. Ein Beginn der Wartezeit per November 2005 ist zwar unter ÂAbklÃ¤rungsergebnisÂ erwÃ¤hnt, aber in der VerfÃ¼gung nicht rechtsverbindlich festgelegt.</w:t>
      </w:r>
    </w:p>
    <w:p>
      <w:r>
        <w:t>3.Â Â Â Â Â Â Â Â  Zusammenfassend ergibt sich, dass die BeschwerdefÃ¼hrerin den Beginn der invalidisierenden ArbeitsunfÃ¤higkeit im berufsvorsorgerechtlichen Verfahren frei prÃ¼fen kann.</w:t>
      </w:r>
    </w:p>
    <w:p>
      <w:r>
        <w:t>Wird nach dem Gesagten mit Bezug auf den berufsvorsorgerechtlichen Leistungsanspruch insoweit nichts prÃ¤judiziert, entfÃ¤llt eine entsprechende Rechtsmittelbefugnis der BeschwerdefÃ¼hrerin. Sie ist demnach zur Beschwerdeerhebung im invalidenversicherungsrechtlichen Verfahren nicht legitimiert, weshalb auf die Beschwerde nicht einzutreten ist.</w:t>
      </w:r>
    </w:p>
    <w:p>
      <w:r>
        <w:t>4.Â Â Â Â Â Â  Da es bei der PrÃ¼fung der Beschwerdelegitimation rechtsprechungsgemÃ¤ss nicht um eine Leistungsstreitigkeit, sondern um rein prozessrechtliche Fragen geht (BGE 130 V 569 Erw. 5 e contrario), ist das Verfahren in Abweichung von Art. 69 Abs. 1 bis IVG kostenlos.</w:t>
      </w:r>
    </w:p>
    <w:p>
      <w:r>
        <w:t>Das Gericht beschliesst:</w:t>
      </w:r>
    </w:p>
    <w:p>
      <w:r>
        <w:t>1.Â Â Â Â Â Â Â Â  Auf die Beschwerde wird nicht eingetreten.</w:t>
      </w:r>
    </w:p>
    <w:p>
      <w:r>
        <w:t>2.Â Â Â Â Â Â Â Â  Das Verfahren ist kostenlos.</w:t>
      </w:r>
    </w:p>
    <w:p>
      <w:r>
        <w:t>3.Â Â Â Â Â Â Â Â Â Â  Zustellung gegen Empfangsschein an:</w:t>
      </w:r>
    </w:p>
    <w:p>
      <w:r>
        <w:t>- Sammelstiftung BVG der Allianz Suisse Lebensversicherungs-Gesellschaft</w:t>
      </w:r>
    </w:p>
    <w:p>
      <w:r>
        <w:t>- Sozialversicherungsanstalt des Kantons ZÃ¼rich, IV-Stelle</w:t>
      </w:r>
    </w:p>
    <w:p>
      <w:r>
        <w:t>- X.___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