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IV.2010.00896 vom 22. November 2010</w:t>
      </w:r>
    </w:p>
    <w:p>
      <w:r>
        <w:t>ZH Sozialversicherungsgericht, 2010-11-22, DE</w:t>
      </w:r>
    </w:p>
    <w:p>
      <w:r>
        <w:rPr>
          <w:b/>
        </w:rPr>
        <w:t xml:space="preserve">Quelle: </w:t>
      </w:r>
      <w:r>
        <w:t>https://mcp.opencaselaw.ch/entscheid/zh_sozialversicherungsgericht_IV.2010.00896</w:t>
      </w:r>
    </w:p>
    <w:p>
      <w:r>
        <w:t>FR: ZH_SOZIALVERSICHERUNGSGERICHT IV.2010.00896 du 22 novembre 2010</w:t>
      </w:r>
    </w:p>
    <w:p>
      <w:r>
        <w:t>IT: ZH_SOZIALVERSICHERUNGSGERICHT IV.2010.00896 del 22 novembre 2010</w:t>
      </w:r>
    </w:p>
    <w:p>
      <w:pPr>
        <w:pStyle w:val="Heading2"/>
      </w:pPr>
      <w:r>
        <w:t>Erwägungen</w:t>
      </w:r>
    </w:p>
    <w:p>
      <w:r>
        <w:rPr>
          <w:b/>
        </w:rPr>
        <w:t>E. 1</w:t>
      </w:r>
    </w:p>
    <w:p>
      <w:r>
        <w:t>1.1Â Â Â Â  GemÃ¤ss Art. 3a Abs. 1 des Bundesgesetzes Ã¼ber die Invalidenversicherung (IVG) soll durch die frÃ¼hzeitige Erfassung von arbeitsunfÃ¤higen Versicherten bei diesen Personen der Eintritt einer InvaliditÃ¤t verhindert werden.</w:t>
      </w:r>
    </w:p>
    <w:p>
      <w:r>
        <w:t>Zur Meldung berechtigt ist die versicherte Person (Art. 3b Abs. 2 lit. a IVG). Sie kann sich bei der zustÃ¤ndigen IV-Stelle im Sinne von Art. 40 der Verordnung Ã¼ber die Invalidenversicherung (IVV) zur FrÃ¼herfassung melden, wenn sie wÃ¤hrend mindestens 30 Tagen ununterbrochen arbeitsunfÃ¤hig war; oder innerhalb eines Jahres wiederholt wÃ¤hrend kÃ¼rzerer Zeit aus gesundheitlichen GrÃ¼nden der Arbeit fernbleiben musste (Art. 1 ter Abs. 1 lit. a und b IVV).</w:t>
      </w:r>
    </w:p>
    <w:p>
      <w:r>
        <w:t>Mit Hilfe der Massnahmen der FrÃ¼hintervention soll der bisherige Arbeitsplatz von arbeitsunfÃ¤higen Versicherten erhalten bleiben oder sollen die Versicherten an einem neuen Arbeitsplatz innerhalb oder ausserhalb des bisherigen Betriebes eingegliedert werden (Art. 7d Abs. 1 IVG). Die IV-Stellen kÃ¶nnen unter anderem als Massnahme eine Arbeitsvermittlung anordnen (Art. 7d Abs. 2 lit. c IVG).</w:t>
      </w:r>
    </w:p>
    <w:p>
      <w:r>
        <w:t>GemÃ¤ss Art. 7d Abs. 3 IVG besteht auf Massnahmen der FrÃ¼hintervention kein Rechtsanspruch.</w:t>
      </w:r>
    </w:p>
    <w:p>
      <w:r>
        <w:rPr>
          <w:b/>
        </w:rPr>
        <w:t>E. 1.2</w:t>
      </w:r>
    </w:p>
    <w:p>
      <w:r>
        <w:t>1.2.1Â Â  Die InvaliditÃ¤t gilt als eingetreten, sobald sie die fÃ¼r die BegrÃ¼ndung des Anspruchs auf die jeweilige Leistung erforderliche Art und Schwere erreicht hat (Art. 4 Abs. 2 IVG). Drohende InvaliditÃ¤t liegt vor, wenn der Eintritt der ErwerbsunfÃ¤higkeit Ã¼berwiegend wahrscheinlich ist. Der Zeitpunkt des Eintritts der ErwerbsunfÃ¤higkeit ist unerheblich (Art. 1 novies IVV).</w:t>
      </w:r>
    </w:p>
    <w:p>
      <w:r>
        <w:t>1.2.2Â Â Â Â Â Â Â Â  Invalide oder von einer InvaliditÃ¤t (Art. 8 ATSG) bedrohte Versicherte haben gemÃ¤ss Art. 8 IVG Anspruch auf Eingliederungsmassnahmen, soweit:</w:t>
      </w:r>
    </w:p>
    <w:p>
      <w:r>
        <w:t>a. diese notwendig und geeignet sind, die ErwerbsfÃ¤higkeit oder die FÃ¤higkeit, sich im Aufgabenbereich zu betÃ¤tigen, wieder herzustellen, zu erhalten oder zu verbessern; und</w:t>
      </w:r>
    </w:p>
    <w:p>
      <w:r>
        <w:t>b. die Voraussetzungen fÃ¼r den Anspruch auf die einzelnen Massnahmen erfÃ¼llt sind (Abs. 1).</w:t>
      </w:r>
    </w:p>
    <w:p>
      <w:r>
        <w:t>Â Â Â Â Â Â Â Â  Die Eingliederungsmassnahmen bestehen unter anderem in Massnahmen beruflicher Art, namentlich Arbeitsvermittlung (Art. 8 Abs. 3 lit. b IVG).</w:t>
      </w:r>
    </w:p>
    <w:p>
      <w:r>
        <w:t>1.2.3Â Â Â Â Â Â Â Â  ArbeitsunfÃ¤hige (Art. 6 ATSG) Versicherte, welche eingliederungsfÃ¤hig sind, haben gemÃ¤ss Art. 18 Abs. 1 IVG Anspruch auf aktive UnterstÃ¼tzung bei der Suche eines geeigneten Arbeitsplatzes (lit. a) und auf begleitende Beratung im Hinblick auf die Aufrechterhaltung ihres Arbeitsplatzes (lit. b).</w:t>
      </w:r>
    </w:p>
    <w:p>
      <w:r>
        <w:rPr>
          <w:b/>
        </w:rPr>
        <w:t>E. 2</w:t>
      </w:r>
    </w:p>
    <w:p>
      <w:r>
        <w:t>2.1Â Â Â Â  Strittig und zu prÃ¼fen ist der Anspruch des BeschwerdefÃ¼hrers auf Arbeitsvermittlung (Urk. 1 S. 2, Urk. 7).</w:t>
      </w:r>
    </w:p>
    <w:p>
      <w:r>
        <w:t>2.2Â Â Â Â  Der Hausarzt des BeschwerdefÃ¼hrers, Dr. med. A.___, FMH fÃ¼r Allgemeine Medizin, hielt im Bericht vom 8. Januar 2010 (Urk. 8/8/1-5) fest, dass der BeschwerdefÃ¼hrer seit Oktober 2006 bei ihm in Behandlung stehe (S. 2 Ziff. 1.2).</w:t>
      </w:r>
    </w:p>
    <w:p>
      <w:r>
        <w:t>Dr. A.___ nannte folgende Diagnosen mit Auswirkung auf die ArbeitsfÃ¤higkeit (S. 2 Ziff. 1.1):</w:t>
      </w:r>
    </w:p>
    <w:p>
      <w:r>
        <w:t>- chronisches zervikozephales und zervikovertebrales Schmerzsyndrom</w:t>
      </w:r>
    </w:p>
    <w:p>
      <w:r>
        <w:t>- somatoforme SchmerzstÃ¶rung</w:t>
      </w:r>
    </w:p>
    <w:p>
      <w:r>
        <w:t>- Status nach HWS-Distorsionstrauma im Jahre 1999</w:t>
      </w:r>
    </w:p>
    <w:p>
      <w:r>
        <w:t>Alsdann nannte Dr. A.___ als Diagnose ohne Auswirkung auf die ArbeitsfÃ¤higkeit eine arterielle Hypertonie (S. 2 Ziff. 1.1).</w:t>
      </w:r>
    </w:p>
    <w:p>
      <w:r>
        <w:t>Es bestehe keine ArbeitsunfÃ¤higkeit fÃ¼r die angestammte TÃ¤tigkeit als MÃ¶belhausmitarbeiter (S. 3 Ziff. 1.6). Unklar sei indessen, ob diese TÃ¤tigkeit medizinisch noch zumutbar sei (S. 3 Ziff. 1.7). Auf lÃ¤ngere Sicht sei die Arbeit im MÃ¶belhaus mit dem Tragen von schweren Lasten fÃ¼r den BeschwerdefÃ¼hrer nicht geeignet und verschlechtere wahrscheinlich den Verlauf (S. 5 Ziff. 1.7 lit. B).</w:t>
      </w:r>
    </w:p>
    <w:p>
      <w:r>
        <w:t>2.3Â Â Â Â  Der behandelnde Psychiater des BeschwerdefÃ¼hrers, Dr. med. B.___, FMH fÃ¼r Psychiatrie und Psychotherapie, nannte im Bericht vom 6. Juni 2010 (Urk. 8/13) folgende Diagnosen (S. 2 Ziff. 1.1):</w:t>
      </w:r>
    </w:p>
    <w:p>
      <w:r>
        <w:t>- anhaltende somatoforme SchmerzstÃ¶rung und autonome somatoforme FunktionsstÃ¶rung</w:t>
      </w:r>
    </w:p>
    <w:p>
      <w:r>
        <w:t>- hypochondrische Selbstbeobachtung bei Herzangst</w:t>
      </w:r>
    </w:p>
    <w:p>
      <w:r>
        <w:t>- agoraphobische und phobophobische Tendenzen mit Panik</w:t>
      </w:r>
    </w:p>
    <w:p>
      <w:r>
        <w:t>Sodann fÃ¼hrte Dr. B.___ aus, dass aus psychiatrischer Sicht in der angestammten TÃ¤tigkeit seit 22. MÃ¤rz 2005 eine ArbeitsunfÃ¤higkeit im Umfang von 30 % bestehe (S. 4 Ziff. 1.6). Die Angstproblematik sei therapierbar (S. 2 oben). Prognostisch gehe er bei chronisch fixierter Situation eher von keiner Besserung des Zustandbildes aus (S. 3 Ziff. 1.4 unten). BezÃ¼glich des Konzentrations- und AuffassungsvermÃ¶gens sei der BeschwerdefÃ¼hrer nicht eingeschrÃ¤nkt. Die AnpassungsfÃ¤higkeit sei durch seine Fixierung auf die Beschwerden eingeschrÃ¤nkt. Subjektiv bestehe auch eine EinschrÃ¤nkung bezÃ¼glich der Belastbarkeit (S. 6).</w:t>
      </w:r>
    </w:p>
    <w:p>
      <w:r>
        <w:t>2.4Â Â Â Â  In einem Ã¤rztlichen Zeugnis vom 15. Juni 2010 (Urk. 8/16) attestierte Dr. A.___ unter BerÃ¼cksichtigung der kÃ¶rperlichen und psychischen Krankheit eine ArbeitsunfÃ¤higkeit von 50 %.</w:t>
      </w:r>
    </w:p>
    <w:p>
      <w:r>
        <w:t>3.Â Â Â Â Â Â  Nach Angaben der Arbeitgeberin des BeschwerdefÃ¼hrers hat der BeschwerdefÃ¼hrer im Jahr 2010 keine krankheitsbedingten Absenzen aufgewiesen (Urk. 8/19). Ferner gab die Arbeitgeberin an, dass ihr keine gesundheitlichen BeeintrÃ¤chtigungen des BeschwerdefÃ¼hrers bekannt seien. Er versehe ein 100 %-Arbeitspensum (Urk. 8/27 S. 1).</w:t>
      </w:r>
    </w:p>
    <w:p>
      <w:r>
        <w:t>Zur individuellen TÃ¤tigkeit des BeschwerdefÃ¼hrers fÃ¼hrte die Arbeitgeberin aus, diese bestehe in der Fertigung von zirka drei dreitÃ¼rigen SchiebetÃ¼rschrÃ¤nken pro Tag. Diese TÃ¤tigkeit beinhalte die Montage der BeschlÃ¤ge. Auf die TÃ¼ren wÃ¼rden zusÃ¤tzlich noch Griffe und je nach Modell ein Spiegel montiert. FÃ¼r die Montagearbeiten wÃ¼rden die erwÃ¤hnten Teile auf MontagebÃ¶cke gehoben. Nach der Beendigung der Montagearbeiten wÃ¼rden die Teile auf Rollwagen gehoben und mit diesen zur Spedition transportiert. Das Heben von schweren Teilen Ã¼ber 25 kg sei selten und werde jeweils von zwei Personen ausgefÃ¼hrt. Die TÃ¤tigkeit sei mit hÃ¤ufigem Gehen und seltener mit Stehen verbunden. Die geistigen Anforderungen seien mÃ¤ssig (Urk. 8/27 S. 6 f.).</w:t>
      </w:r>
    </w:p>
    <w:p>
      <w:r>
        <w:rPr>
          <w:b/>
        </w:rPr>
        <w:t>E. 4</w:t>
      </w:r>
    </w:p>
    <w:p>
      <w:r>
        <w:t>4.1Â Â Â Â  Nach Lage der Akten befindet sich der BeschwerdefÃ¼hrer in einem langjÃ¤hrigen und ungekÃ¼ndigten ArbeitsverhÃ¤ltnis und versieht ein Vollzeitarbeitspensum. Es besteht eine effektiv vorhandene vollzeitliche ArbeitstÃ¤tigkeit (Urk. 8/27).</w:t>
      </w:r>
    </w:p>
    <w:p>
      <w:r>
        <w:t>4.2Â Â Â Â  Nach der bundesgerichtlichen Rechtsprechung muss eine Einbusse an LeistungsvermÃ¶gen arbeitsrechtlich in Erscheinung treten, so etwa durch einen Abfall der Leistungen mit entsprechender Feststellung oder gar Ermahnung des Arbeitgebers oder durch gehÃ¤ufte, aus dem Rahmen fallende gesundheitlich bedingte ArbeitsausfÃ¤lle (Urteil des Bundesgerichts in Sachen M. vom 27. Mai 2010, 8C_26/2010, Erw. 3.5).</w:t>
      </w:r>
    </w:p>
    <w:p>
      <w:r>
        <w:t>Daher kann weder auf die im Juni 2010 von Dr. B.___ rÃ¼ckwirkend seit 22. MÃ¤rz 2005 bescheinigte medizinisch-theoretische ArbeitsunfÃ¤higkeit im Umfang von 30 % noch auf das Ã¤rztliche Zeugnis von Dr. A.___ abgestellt werden. Letzterer ging alsdann von einer kÃ¶rperlich schweren TÃ¤tigkeit aus (Urk. 8/8 S. 3 Ziff. 1.7). Die Arbeitgeberin des BeschwerdefÃ¼hrers fÃ¼hrte indessen aus, dass das Heben von Lasten Ã¼ber 25 kg selten ausgefÃ¼hrt werden mÃ¼sse. Diese Arbeiten wÃ¼rden stets von zwei Personen gemeinsam bewerkstelligt (Urk. 8/27 S. 6). Die EinschÃ¤tzung der ArbeitsfÃ¤higkeit des BeschwerdefÃ¼hrers durch Dr. A.___ beruht mithin auf ungenÃ¼genden Kenntnissen Ã¼ber die TÃ¤tigkeit und die Arbeitsbedingungen des BeschwerdefÃ¼hrers.</w:t>
      </w:r>
    </w:p>
    <w:p>
      <w:r>
        <w:t>Ohne dass die Arbeitgeberin eine Leistungseinbusse des BeschwerdefÃ¼hrers bemerkt hat, kann keine ArbeitsunfÃ¤higkeit angenommen werden. Ebenso wenig ist von einer Ã¼berwiegend wahrscheinlich drohenden Verschlimmerung des Gesundheitszustandes des BeschwerdefÃ¼hrers auszugehen.</w:t>
      </w:r>
    </w:p>
    <w:p>
      <w:r>
        <w:t>4.3Â Â Â Â  Alles in allem ist demnach in der angestammten TÃ¤tigkeit von einer zumutbaren ArbeitsfÃ¤higkeit auszugehen, so dass kein Anspruch auf Arbeitsvermittlung im Sinne von Art. 18 IVG besteht.</w:t>
      </w:r>
    </w:p>
    <w:p>
      <w:r>
        <w:t>Aufgrund der UmstÃ¤nde ist anzunehmen, dass BemÃ¼hungen um eine Anpassung des (zu erhaltenden) Arbeitsplatzes wÃ¼nschbar sind. DafÃ¼r ist jedoch das vorliegende Verfahren ungeeignet; es sollte dem anwaltlich vertretenen BeschwerdefÃ¼hrer eigentlich mÃ¶glich sein, sich mit der Beschwerdegegnerin betreffend FrÃ¼hintervention zu verstÃ¤ndigen. Da auf eine Arbeitsvermittlung im Sinne von Art. 7d Abs. 2 lit. c IVG als FrÃ¼hinterventionsmassnahme kein Rechtsanspruch besteht (Art. 7d Abs. 3 IVG), ist darauf nicht einzutreten.</w:t>
      </w:r>
    </w:p>
    <w:p>
      <w:r>
        <w:t>Die VerfÃ¼gung ist daher nicht zu beanstanden, was zur Abweisung der Beschwerde fÃ¼hrt.</w:t>
      </w:r>
    </w:p>
    <w:p>
      <w:r>
        <w:t>5.Â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400.-- festzusetzen und ausgangsgemÃ¤ss dem BeschwerdefÃ¼hrer aufzuerlegen.</w:t>
      </w:r>
    </w:p>
    <w:p>
      <w:r>
        <w:t>Das Gericht erkennt:</w:t>
      </w:r>
    </w:p>
    <w:p>
      <w:r>
        <w:t>1.Â Â Â Â Â Â Â Â  Die Beschwerde wird abgewiesen, soweit darauf eingetreten wird.</w:t>
      </w:r>
    </w:p>
    <w:p>
      <w:r>
        <w:t>2.Â Â Â Â Â Â Â Â  Die Gerichtskosten von Fr. 400.-- werden dem BeschwerdefÃ¼hrer auferlegt. Rechnung und Einzahlungsschein werden dem Kostenpflichtigen nach Eintritt der Rechtskraft zugestellt.</w:t>
      </w:r>
    </w:p>
    <w:p>
      <w:r>
        <w:t>3.Â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