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IV.2010.00679 vom 20. Januar 2012</w:t>
      </w:r>
    </w:p>
    <w:p>
      <w:r>
        <w:t>ZH Sozialversicherungsgericht, 2012-01-20, DE</w:t>
      </w:r>
    </w:p>
    <w:p>
      <w:r>
        <w:rPr>
          <w:b/>
        </w:rPr>
        <w:t xml:space="preserve">Quelle: </w:t>
      </w:r>
      <w:r>
        <w:t>https://mcp.opencaselaw.ch/entscheid/zh_sozialversicherungsgericht_IV.2010.00679</w:t>
      </w:r>
    </w:p>
    <w:p>
      <w:r>
        <w:t>FR: ZH_SOZIALVERSICHERUNGSGERICHT IV.2010.00679 du 20 janvier 2012</w:t>
      </w:r>
    </w:p>
    <w:p>
      <w:r>
        <w:t>IT: ZH_SOZIALVERSICHERUNGSGERICHT IV.2010.00679 del 20 gennaio 2012</w:t>
      </w:r>
    </w:p>
    <w:p>
      <w:pPr>
        <w:pStyle w:val="Heading2"/>
      </w:pPr>
      <w:r>
        <w:t>Erwägungen</w:t>
      </w:r>
    </w:p>
    <w:p>
      <w:r>
        <w:rPr>
          <w:b/>
        </w:rPr>
        <w:t>E. 3</w:t>
      </w:r>
    </w:p>
    <w:p>
      <w:r>
        <w:t>3.1Â Â Â Â  Im internistisch-rheumatologischen Gutachten vom 14. Februar 2009 hielt Dr. D.___ fest, dass die rheumatologische Untersuchung keine wesentlichen pathologischen Befunde ergeben habe. Zwar gebe die Versicherte an, unter Schmerzen zu leiden, dabei wÃ¼rden aber die ausgeprÃ¤gten Schwielen an den HÃ¤nden auffallen, sowie die Tatsache, dass sie seit langem nicht mehr in physiotherapeutischer Behandlung stehe und dass sie weder Schmerzmittel noch Psychopharmaka einnehme. Sodann mÃ¼sse aufgrund des Verhaltens anlÃ¤sslich der Messungen von einer Selbstlimitierung ausgegangen werden. Ferner mÃ¼sse ein chronischer Alkoholkonsum angenommen werden. Insgesamt sei deshalb von einer 100%igen ArbeitsfÃ¤higkeit in der angestammten TÃ¤tigkeit auszugehen (Urk. 7/36).</w:t>
      </w:r>
    </w:p>
    <w:p>
      <w:r>
        <w:t>3.2Â Â Â Â  Aus psychiatrischer Sicht konnte der begutachtende Dr. E.___ keine Diagnosen stellen, welche die ArbeitsfÃ¤higkeit der BeschwerdefÃ¼hrerin einzuschrÃ¤nken vermÃ¶chten. BezÃ¼glich der Krankheitsentwicklung fÃ¼hrte er aus, dass sie im Jahr 2004 psychiatrische UnterstÃ¼tzung wegen ihren Eheproblemen erhalten habe. Sie habe jedoch nach zwei Monaten die Therapie beendet. Sie habe dann noch wÃ¤hrend eines Monats Psychopharmaka eingenommen, seitdem jedoch nicht mehr. Insgesamt habe die Versicherte einen guten Eindruck gemacht, zwar habe sie Probleme mit dem KurzzeitgedÃ¤chtnis angegeben, dies sei jedoch anlÃ¤sslich der Untersuchung nicht zum Ausdruck gekommen. Bei den durchgefÃ¼hrten Tests seien leichte depressive Symptome und eine unterdurchschnittliche Konzentrationsleistung erkennbar gewesen, jedoch sei die Versicherte insgesamt aus psychopathologischer Sicht unauffÃ¤llig, weshalb keine psychiatrische Diagnose gestellt werden kÃ¶nne. Daraus resultiere auch das Fehlen einer EinschrÃ¤nkung in der ArbeitsfÃ¤higkeit. Hingegen vertrat der Psychiater die Ansicht, dass eine neurologisch-neuropsychologische AbklÃ¤rung zwecks Objektivierung angezeigt sei (Urk. 7/37).</w:t>
      </w:r>
    </w:p>
    <w:p>
      <w:r>
        <w:t>3.3Â Â Â Â  Im neurologischen Gutachten vom 27. Juli 2009 schloss Dr. H.___ eine neurologische EinschrÃ¤nkung aus. Zwar habe die aktuelle Untersuchung einen leichten, inkonstanten Halte- und Intentionstremor der HÃ¤nde sowie eine leichte koordinative Unsicherheit beim Augenschluss ergeben, jedoch passe dies zu dem vordiagnostizierten - von der Versicherten aber negierten - Alkoholkonsum. So bestehe aus neurologischer Sicht auch unter BerÃ¼cksichtigung der aktuellen neuropsychologischen Befunde keine EinschrÃ¤nkung der ArbeitsfÃ¤higkeit (Urk. 7/55).</w:t>
      </w:r>
    </w:p>
    <w:p>
      <w:r>
        <w:t>3.4Â Â Â Â  Die im neuropsychologischen Gutachten vom 28. Juli 2009 durchgefÃ¼hrten Tests veranlassten die Gutachter zur Schlussfolgerung, dass leichte kognitive BeeintrÃ¤chtigungen unspezifischer Art bestÃ¼nden, welche aber durch den labortechnisch nachgewiesenen Alkoholabusus erklÃ¤rbar seien. Insgesamt habe die Versicherte einen aufgestellten Eindruck gemacht, weshalb auch unter der BerÃ¼cksichtigung, dass die BeschwerdefÃ¼hrerin keine Schmerzmittel nehme, die geklagten Schmerzen als eher leicht einzustufen seien. Insgesamt wÃ¼rden die leichten neuropsychologischen BeeintrÃ¤chtigungen die AusÃ¼bung der bisherigen TÃ¤tigkeit nicht einschrÃ¤nken (Urk. 7/54).</w:t>
      </w:r>
    </w:p>
    <w:p>
      <w:r>
        <w:t>4.Â Â Â Â Â Â  In sÃ¤mtlichen von der IV-Stelle veranlassten Gutachten ist eine Verbesserung des Gesundheitszustands ausgewiesen. Daran vermÃ¶gen die Einwendungen in der Beschwerde sowie der eingereichte neuropsychologische Bericht vom 26. April 2010 nichts zu Ã¤ndern. Zwar gingen Prof. Dr. phil. K.___ und Dr. med. L.___ in neuropsychologischer Hinsicht ebenfalls von neuropsychologischen EinschrÃ¤nkungen aus, begrÃ¼ndeten diese jedoch mit einer depressiven Symptomatik und negierten die MÃ¶glichkeit eines Alkoholkonsums. Daraus schlussfolgerten sie eine EinschrÃ¤nkung in der ArbeitsfÃ¤higkeit von 50 % (Bericht vom 26. April 2010 [Urk. 7/68]). Da jedoch weder eine neurologische noch eine psychiatrische Diagnose anlÃ¤sslich der Begutachtungen gestellt werden konnte und auch die begutachtenden Neuropsychologen keine EinschrÃ¤nkung in der ArbeitsfÃ¤higkeit attestierten, vermag dieser Bericht angesichts der im Recht liegenden und in sich schlÃ¼ssigen Gutachten nicht zu Ã¼berzeugen. Auch die Einwendungen, die Gutachten seien wegen dem AbhÃ¤ngigkeitsverhÃ¤ltnis zur beauftragenden IV-Stelle nicht verwertbar, gehen ins Leere. So hielt das Bundesgericht in BGE 137 V 210 ausdrÃ¼cklich fest, dass die wirtschaftliche AbhÃ¤ngigkeit von Begutachtungsstellen zwar zu einer Verbesserung des Zuteilungsmechanismus fÃ¼hren mÃ¼sse, aber dass deshalb ein Gutachten nicht per se als untaugliche Beweisgrundlage zu qualifizieren sei. Sodann vermag auch die Kritik bezÃ¼glich der ÂKlinik M.___Â nicht zu Ã¼berzeugen. Zwar erachtet das Bundesgericht es als zulÃ¤ssig, dass ein Kanton privaten Arztpraxen ohne stationÃ¤re Einrichtungen die Verwendung der Bezeichnung ÂKlinikÂ untersagt, jedoch sei dieselbe Bezeichnung in anderen Kantonen durchaus zugelassen (Urteil des Bundesgerichts vom 29. Mai 2009 9C_53/2009). Sodann legte die BeschwerdefÃ¼hrerin auch nicht dar, inwiefern die Verwendung der gerÃ¼gten Begriffe zu einer mangelnden Verwertbarkeit der im Rahmen der Begutachtung gewonnenen Erkenntnisse fÃ¼hren wÃ¼rde. Die einlÃ¤sslich, nachvollziehbar und Ã¼berzeugend begrÃ¼ndeten Stellungnahmen sÃ¤mtlicher Gutachter erfÃ¼llen somit alle von der Rechtsprechung aufgestellten Anforderungen an eine beweistaugliche und beweiskrÃ¤ftige medizinische Grundlage (BGE 125 V 352 E. 3a), weshalb von einer Verbesserung der gesundheitlichen VerhÃ¤ltnisse und einer wiedererlangten 100%igen ArbeitsfÃ¤higkeit (als Reinigungskraft wie auch hinsichtlich jeder vergleichbaren TÃ¤tigkeit, worunter die Haushaltarbeit) auszugehen ist. Dies fÃ¼hrt zur Abweisung der Beschwerde.</w:t>
      </w:r>
    </w:p>
    <w:p>
      <w:r>
        <w:t>5.Â Â Â Â Â Â  Da es um die Bewilligung oder Verweigerung von Versicherungsleistungen geht, ist das Verfahren kostenpflichtig. Die Gerichtskosten sind nach dem Verfahrensaufwand und unabhÃ¤ngig vom Streitwert festzulegen (Art. 69 Abs. 1 bis des Bundesgesetzes Ã¼ber die Invalidenversicherung [IVG] in der seit dem 1. Juli 2006 in Kraft stehenden Fassung) und auf Fr. 600.--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JÃ¼rg Leimbacher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