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IV.2010.00456 vom 5. August 2011</w:t>
      </w:r>
    </w:p>
    <w:p>
      <w:r>
        <w:t>ZH Sozialversicherungsgericht, 2011-08-05, DE</w:t>
      </w:r>
    </w:p>
    <w:p>
      <w:r>
        <w:rPr>
          <w:b/>
        </w:rPr>
        <w:t xml:space="preserve">Quelle: </w:t>
      </w:r>
      <w:r>
        <w:t>https://mcp.opencaselaw.ch/entscheid/zh_sozialversicherungsgericht_IV.2010.00456</w:t>
      </w:r>
    </w:p>
    <w:p>
      <w:r>
        <w:t>FR: ZH_SOZIALVERSICHERUNGSGERICHT IV.2010.00456 du 5 août 2011</w:t>
      </w:r>
    </w:p>
    <w:p>
      <w:r>
        <w:t>IT: ZH_SOZIALVERSICHERUNGSGERICHT IV.2010.00456 del 5 agosto 2011</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5. Mai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Bei den im Folgenden zitierten Gesetzes- und Verordnungsbestimmungen handelt es sich - soweit nichts anderes vermerkt wird - um die Fassungen, wie sie bis Ende 2007 in Kraft gewesen sind.</w:t>
      </w:r>
    </w:p>
    <w:p>
      <w:r>
        <w:t>1.3Â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 VerfÃ¼gungsteil 2 S. 1). Darauf kann, mit den nachstehenden ErgÃ¤nzungen, verwiesen werden.</w:t>
      </w:r>
    </w:p>
    <w:p>
      <w:r>
        <w:t>1.4Â Â Â Â  GemÃ¤ss Art. 29 Abs. 1 IVG entsteht der Anspruch auf eine Rente der Invalidenversicherung frÃ¼hestens in dem Zeitpunkt, in dem der Versicherte mindestens zu 40 % bleibend erwerbsunfÃ¤hig geworden ist oder wÃ¤hrend eines Jahres ohne wesentlichen Unterbruch durchschnittlich mindestens zu 40 Prozent arbeitsunfÃ¤hig gewesen war.</w:t>
      </w:r>
    </w:p>
    <w:p>
      <w:r>
        <w:t>Â Â Â Â Â Â Â Â  Die Wartezeit im Sinne von Art. 29 Abs. 1 lit. b IVG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97 E. 3.2, 118 V 16 E. 6d, 105 V 156 E. 2a in fine mit Hinweisen; ZAK 1986 S. 476 E. 3, 1984 S. 230 E. 1, 1980 S. 283 E. 2a).</w:t>
      </w:r>
    </w:p>
    <w:p>
      <w:r>
        <w:rPr>
          <w:b/>
        </w:rPr>
        <w:t>E. 2</w:t>
      </w:r>
    </w:p>
    <w:p>
      <w:r>
        <w:t>2.1Â Â Â Â  Strittig und zu prÃ¼fen ist einzig der auf Februar 2008 festgesetzte Beginn der Wartefrist.</w:t>
      </w:r>
    </w:p>
    <w:p>
      <w:r>
        <w:t>2.2Â Â Â Â  Die Beschwerdegegnerin ging in der angefochtenen VerfÃ¼gung (Urk. 2) - gestÃ¼tzt auf den Bericht von Dr. B.___ - davon aus, dass die BeschwerdefÃ¼hrerin seit dem 20. Februar 2008 in ihrer ArbeitsfÃ¤higkeit erheblich eingeschrÃ¤nkt sei (VerfÃ¼gungsteil 2 S. 1 unten). Eine frÃ¼here ArbeitsunfÃ¤higkeit sei gemÃ¤ss den medizinischen Akten nicht nachvollziehbar ausgewiesen (VerfÃ¼gungsteil 2 S. 2 oben).</w:t>
      </w:r>
    </w:p>
    <w:p>
      <w:r>
        <w:t>2.3Â Â Â Â  Die BeschwerdefÃ¼hrerin stellte sich in der Beschwerde (Urk. 1) auf den Standpunkt, dass der Beginn der Wartefrist auf Anfang 2003 festzulegen sei (S. 2 Ziff. 1). Die Tatsache, dass Dr. B.___ die 100%ige ArbeitsunfÃ¤higkeit erst ab Februar 2008 (Beginn der Behandlung bei ihm) festgestellt habe, habe mehr mit seiner Ernsthaftigkeit und GlaubwÃ¼rdigkeit zu tun. Effektiv sei schon mindestens seit 2003 eine IV-relevante ArbeitsunfÃ¤higkeit gegeben. Dies sei dem Bericht von Dr. C.___ sowie dem Gutachten von Dr. Z.___ zu entnehmen (S. 4 Ziff. 3).</w:t>
      </w:r>
    </w:p>
    <w:p>
      <w:r>
        <w:rPr>
          <w:b/>
        </w:rPr>
        <w:t>E. 3</w:t>
      </w:r>
    </w:p>
    <w:p>
      <w:r>
        <w:t>3.1Â Â Â Â  Dr. med. C.___, Facharzt fÃ¼r Allgemeine Medizin, diagnostizierte im Ã¤rztlichen Zeugnis vom 12. Januar 2006 (Urk. 8/4/2) eine depressive StÃ¶rung, gegenwÃ¤rtig mittelgradige Episode, mit somatischen Symptomen. Seit etwa Anfang des Jahres 2003 bestehe eine dauernde 100%ige ArbeitsunfÃ¤higkeit. Die BeschwerdefÃ¼hrerin sei fÃ¼r jegliche TÃ¤tigkeiten in der freien Wirtschaft voll arbeitsunfÃ¤hig.</w:t>
      </w:r>
    </w:p>
    <w:p>
      <w:r>
        <w:t>3.2Â Â Â Â  Dr. med. D.___, Psychiatrie und Psychotherapie FMH, und lic. phil. E.___, Psychologe FSP, Psychiatrisch-Psychologischer Dienst der Poliklinik F.___, nannten im Bericht vom 14. Juni 2006 (Urk. 8/10) zuhanden der Beschwerdegegnerin folgende Diagnosen mit Auswirkung auf die ArbeitsfÃ¤higkeit (lit. A):</w:t>
      </w:r>
    </w:p>
    <w:p>
      <w:r>
        <w:t>- AnpassungsstÃ¶rung Angst und Depression gemischt mit Panikattacken und Vermeidungsverhalten</w:t>
      </w:r>
    </w:p>
    <w:p>
      <w:r>
        <w:t>- StÃ¶rung durch Alkohol- und Medikamentenabusus mit anhaltender kognitiver BeeintrÃ¤chtigung</w:t>
      </w:r>
    </w:p>
    <w:p>
      <w:r>
        <w:t>- anamnestisch Status nach zwei Suizidversuchen</w:t>
      </w:r>
    </w:p>
    <w:p>
      <w:r>
        <w:t>Â Â Â Â Â Â Â Â  Dr. D.___ und lic. phil. E.___ fÃ¼hrten aus, anamnestisch lasse sich im kurzen einmaligen GesprÃ¤ch (drei weitere AbklÃ¤rungstermine hat die BeschwerdefÃ¼hrerin nicht wahrgenommen, vgl. lit. D.1) nicht eruieren, ob es sich um ein primÃ¤res oder sekundÃ¤res Suchtproblem handle. Die festgestellte kognitive BeeintrÃ¤chtigung sei allerdings mit Ã¼berwiegender Wahrscheinlichkeit auf den Alkoholabusus zurÃ¼ckzufÃ¼hren (alkoholtoxische HirnverÃ¤nderung). Wahrscheinlich bestehe seit vielen Jahren eine reduzierte ArbeitsfÃ¤higkeit, seit mehr als einem Jahr sei die BeschwerdefÃ¼hrerin zu 100 % arbeitsunfÃ¤hig. Theoretisch wÃ¤re es mÃ¶glich, dass sich die AngststÃ¶rung unter einer adÃ¤quaten Behandlung verbessere. In Anbetracht der fehlenden Motivation und der eingeschrÃ¤nkten kognitiven LeistungsfÃ¤higkeit der BeschwerdefÃ¼hrerin scheine aber ein Behandlungserfolg (auch bei erhÃ¶htem Druck) wenig wahrscheinlich. Somit sei mit einer anhaltenden ArbeitsunfÃ¤higkeit zu rechnen (lit. D.7).</w:t>
      </w:r>
    </w:p>
    <w:p>
      <w:r>
        <w:t>3.3Â Â Â Â  Dr. C.___ nannte im Bericht vom 20. Juli 2006 (Urk. 8/12/5-7) zuhanden der Beschwerdegegnerin folgende Diagnosen mit Auswirkung auf die ArbeitsfÃ¤higkeit (lit. A):</w:t>
      </w:r>
    </w:p>
    <w:p>
      <w:r>
        <w:t>- lÃ¤ngere depressive Episode mit somatischen Symptomen</w:t>
      </w:r>
    </w:p>
    <w:p>
      <w:r>
        <w:t>- chronisches Panvertebralsyndrom bei/mit</w:t>
      </w:r>
    </w:p>
    <w:p>
      <w:r>
        <w:t>- WirbelsÃ¤ulenfehlform und Haltungsinsuffizienz</w:t>
      </w:r>
    </w:p>
    <w:p>
      <w:r>
        <w:t>Â Â Â Â Â Â Â Â  Dr. C.___ fÃ¼hrte aus, er behandle die BeschwerdefÃ¼hrerin seit Ende Januar 2001 (lit. D.1). Seit etwa zwei Jahren komme sie regelmÃ¤ssig fÃ¼r GesprÃ¤che in ihrer Muttersprache zu ihm und nehme SSRI und Benzodiazepine ein. Zudem bestehe wahrscheinlich ein AlkoholÃ¼berkonsum. Sie kÃ¶nne seit Jahren keiner Arbeit mehr nachgehen und sei sozialhilfeabhÃ¤ngig (lit. D.3). Zur Frage der ArbeitsunfÃ¤higkeit hielt er fest, dass keine sicheren Angaben mÃ¶glich seien (lit. B).</w:t>
      </w:r>
    </w:p>
    <w:p>
      <w:r>
        <w:t>Â Â Â Â Â Â Â Â  Auf dem Beiblatt zur medizinischen Beurteilung der Arbeitsbelastbarkeit (Urk. 8/12/3-4) gab er im Wesentlichen an, dass ihr das Heben und Tragen von mehr als 25 kg schweren Lasten nicht zumutbar sei und dass sie bezÃ¼glich KonzentrationsvermÃ¶gen, AnpassungsfÃ¤higkeit und Belastbarkeit eingeschrÃ¤nkt sei. Ihr sei keine TÃ¤tigkeit mehr zumutbar.</w:t>
      </w:r>
    </w:p>
    <w:p>
      <w:r>
        <w:t>3.4Â Â Â Â  Dr. med. Z.___, FMH Psychiatrie und Psychotherapie, und Dr. med. A.___, Assistenzarzt, nannten im Gutachten vom 16. April 2007 (Urk. 8/24/1-19) als einzige Diagnose mit Auswirkung auf die ArbeitsfÃ¤higkeit eine akute Intoxikation mit Benzodiazepinen (Temesta; S. 10 Ziff. 4). Sie fÃ¼hrten aus, dass an beiden Untersuchungsterminen eine akute Intoxikation bestanden habe. Eine differenzierte Untersuchung der BeschwerdefÃ¼hrerin sei nicht mÃ¶glich gewesen, da sie unter anderem an StÃ¶rungen der Konzentration, Auffassung und MerkfÃ¤higkeit gelitten habe. Empfohlen werde daher eine Entgiftung von Benzodiazepinen und Alkohol und anschliessend eine erneute Begutachtung (S. 11 Ziff. 4.1). Eine Beurteilung der lÃ¤ngerfristigen ArbeitsunfÃ¤higkeit sei gegenwÃ¤rtig nicht mÃ¶glich (S. 11 Ziff. 5). Zum Zeitpunkt der Untersuchungen habe aufgrund der Intoxikation eine akute EinschrÃ¤nkung der ArbeitsfÃ¤higkeit von Ã¼ber 80 % bestanden (S. 12 Ziff. 7).</w:t>
      </w:r>
    </w:p>
    <w:p>
      <w:r>
        <w:t>Â Â Â Â Â Â Â Â  Im Rahmen der Stellungnahme zum Bericht von Dr. C.___ vom Januar 2006 hielten Dr. Z.___ und Dr. A.___ fest, dass die Diagnose nicht nÃ¤her begrÃ¼ndet werde und somit nicht nachvollziehbar sei (S. 15 Ziff. 4). Des Weiteren sei die EinschÃ¤tzung im Sinne einer 0%igen ArbeitsfÃ¤higkeit medizinisch-theoretisch kaum begrÃ¼ndbar, da es sich um eine absolute motorische, intellektuelle und / oder emotionale InvaliditÃ¤t der versicherten Person handeln mÃ¼sste (S. 13 Ziff. 2). Zum Bericht von Dr. D.___ und lic. phil. E.___ vom Juni 2006 gaben sie ebenfalls an, dass die genannten Diagnosen nicht nachvollziehbar seien (S. 17 oben).</w:t>
      </w:r>
    </w:p>
    <w:p>
      <w:r>
        <w:t>3.5Â Â Â Â  Dr. med. B.___, FMH Psychiatrie und Psychotherapie, nannte im Bericht vom 27. Januar 2009 (Urk. 8/39/3-12) folgende Diagnosen mit Einfluss auf die ArbeitsfÃ¤higkeit (Ziff. 1.1):</w:t>
      </w:r>
    </w:p>
    <w:p>
      <w:r>
        <w:t>- Verdacht auf paranoide Schizophrenie, bestehend seit etwa 1990</w:t>
      </w:r>
    </w:p>
    <w:p>
      <w:r>
        <w:t>- Status nach StÃ¶rung durch Alkohol, schÃ¤dlicher Gebrauch, bestehend seit etwa 2003</w:t>
      </w:r>
    </w:p>
    <w:p>
      <w:r>
        <w:t>- Status nach StÃ¶rung durch Sedativa, schÃ¤dlicher Gebrauch, bestehend seit etwa 2003</w:t>
      </w:r>
    </w:p>
    <w:p>
      <w:r>
        <w:t>Â Â Â Â Â Â Â Â  Dr. B.___ gab an, die BeschwerdefÃ¼hrerin sei seit dem 20. Februar 2008 bei ihm in Behandlung (Ziff. 3.1). Sie zeige eine in IntensitÃ¤t und Ausmass sehr heftige Symptomatik in den Bereichen Wahrnehmung, Stimmung, Affekt und Kognition. Sie sei durch die StÃ¶rung hochgradig in ihrem Lebensvollzug eingeschrÃ¤nkt. Diagnostisch sei die schleichende paranoide Entwicklung seit 1990 wegweisend. Die in diesem Jahr erlittene KrÃ¤nkung durch die Ehescheidung sowie die soziale Entwurzelung kÃ¶nnte auch als Boden einer posttraumatischen Entwicklung verstanden werden. Jedoch spreche die eindeutig psychotische EinfÃ¤rbung dagegen. Es handle sich um eine Symptomatologie aus dem schizophrenen Formenkreis, am ehesten einer paranoiden Schizophrenie. Die formalen Kriterien seien jedenfalls erfÃ¼llt. Eine verwertbare ArbeitsfÃ¤higkeit liege seit Februar 2008 (und wahrscheinlich schon davor) seines Erachtens nicht vor. Die Symptome seien zu ausgeprÃ¤gt. Eine suffiziente Pharmakotherapie sei wegen dem sehr breit gefassten StÃ¶rungsbild, dem Suchtgeschehen und bei (durchaus krankheitsbedingt) schwieriger Compliance der BeschwerdefÃ¼hrerin bis Herbst 2008 kaum mÃ¶glich gewesen. Selbst wenn eine solche jetzt und in Zukunft etabliert werden kÃ¶nne, sei die Prognose hinsichtlich der Erkrankung und damit auch der ArbeitsfÃ¤higkeit unsicher. Mit einem sinnvollen Beginn rehabilitativer Massnahmen kÃ¶nne nicht vor Herbst 2009 gerechnet werden (Beiblatt Ziff. 3.7).</w:t>
      </w:r>
    </w:p>
    <w:p>
      <w:r>
        <w:rPr>
          <w:b/>
        </w:rPr>
        <w:t>E. 4</w:t>
      </w:r>
    </w:p>
    <w:p>
      <w:r>
        <w:t>4.1Â Â Â Â  Nach Lage der Akten ergibt sich betreffend den vorliegend strittigen Zeitpunkt des Beginns des Wartejahres Folgendes.</w:t>
      </w:r>
    </w:p>
    <w:p>
      <w:r>
        <w:t>Â Â Â Â Â Â Â Â  Dr. C.___, bei welchem die BeschwerdefÃ¼hrerin seit Januar 2001 in Behandlung steht, ging in seinem Bericht vom Januar 2006 von einer 100%igen ArbeitsunfÃ¤higkeit seit Beginn des Jahres 2003 aus. Im Juli 2006 fÃ¼hrte er zwar aus, dass keine sicheren Angaben zur ArbeitsfÃ¤higkeit mÃ¶glich seien, ging aber weiterhin davon aus, dass der BeschwerdefÃ¼hrerin keine TÃ¤tigkeit mehr zumutbar sei. Dr. D.___ und lic. phil. E.___ attestierten ihr Mitte Juni 2006 eine 100%ige ArbeitsunfÃ¤higkeit seit mehr als einem Jahr, wobei wahrscheinlich seit vielen Jahren eine reduzierte ArbeitsfÃ¤higkeit bestehe. Dr. Z.___ und Dr. A.___ stellten im April 2007 eine Intoxikation fest, welche eine akute EinschrÃ¤nkung der ArbeitsfÃ¤higkeit von Ã¼ber 80 % bewirke. Eine Beurteilung der lÃ¤ngerfristigen ArbeitsunfÃ¤higkeit war ihnen nicht mÃ¶glich. Dem Bericht von Dr. B.___ ist zu entnehmen, dass seit Februar 2008 (und wahrscheinlich schon davor) keine verwertbare ArbeitsfÃ¤higkeit mehr vorliegt.</w:t>
      </w:r>
    </w:p>
    <w:p>
      <w:r>
        <w:t>4.2Â Â Â Â  GemÃ¤ss bundesgerichtlicher Rechtsprechung bildet einzig der bisherige Beruf den Bezugspunkt der fÃ¼r den Rentenbeginn relevanten ArbeitsunfÃ¤higkeit (vgl. E. 1.4). Diese ist auf der Grundlage der medizinischen Stellungnahmen zu beurteilen. Die ArbeitsunfÃ¤higkeit gemÃ¤ss Art. 29 Abs. 1 lit. b IVG entspricht somit bei ErwerbstÃ¤tigen der medizinisch festgestellten EinschrÃ¤nkung im bisherigen Beruf (BGE 130 V 97 E. 3.2).</w:t>
      </w:r>
    </w:p>
    <w:p>
      <w:r>
        <w:t>4.3Â Â Â Â Â Â Â Â  Vorliegend kann betreffend den Beginn des Wartejahres auf die Beurteilung des langjÃ¤hrigen Hausarztes Dr. C.___ abgestellt werden, wonach bei der BeschwerdefÃ¼hrerin seit Anfang des Jahres 2003 eine dauernde 100%ige ArbeitsunfÃ¤higkeit besteht. Auch der im Jahr 2006 durch Dr. D.___ und lic. phil. E.___ erstattete Bericht deutet darauf hin, dass seit diesem Zeitpunkt zumindest eine reduzierte ArbeitsfÃ¤higkeit besteht.</w:t>
      </w:r>
    </w:p>
    <w:p>
      <w:r>
        <w:t>Â Â Â Â Â Â Â Â  Soweit die Beschwerdegegnerin gestÃ¼tzt auf den Bericht von Dr. B.___ zum Schluss kam, dass eine ArbeitsunfÃ¤higkeit nicht vor Februar 2008 bestand, vermag dies nicht zu Ã¼berzeugen. So ist aus seinem Bericht ersichtlich, dass Dr. B.___ selbst eine frÃ¼here ArbeitsunfÃ¤higkeit annahm (Âwahrscheinlich schon davorÂ). Auch die Tatsache, dass Dr. B.___ von einer sich seit etwa 1990 entwickelnden paranoiden Schizophrenie und von seit etwa 2003 bestehenden Suchtproblemen ausging, spricht fÃ¼r einen frÃ¼heren Beginn der ArbeitsunfÃ¤higkeit. Dass Dr. B.___ keine klare Aussage zur ArbeitsfÃ¤higkeit vor Februar 2008 machte, ist damit zu erklÃ¤ren, dass die BeschwerdefÃ¼hrerin erst seit Februar 2008 bei ihm in Behandlung steht.</w:t>
      </w:r>
    </w:p>
    <w:p>
      <w:r>
        <w:t>Â Â Â Â Â Â Â Â  Auch das Gutachten von Dr. Z.___ und Dr. A.___ steht der Annahme einer vollen ArbeitsunfÃ¤higkeit seit Beginn des Jahres 2003 nicht entgegen. Darin wurde nÃ¤mlich insbesondere die durch Dr. C.___ festgestellte Diagnose respektive die Tatsache, dass diese nicht nÃ¤her begrÃ¼ndet wurde, kritisiert. Massgebend ist jedoch nicht die genaue Diagnose sondern die EinschÃ¤tzung der ArbeitsfÃ¤higkeit. FÃ¼r die Frage des Zeitpunkts der ErÃ¶ffnung des Wartejahres reicht die hausÃ¤rztlich attestierte ArbeitsunfÃ¤higkeit aus.</w:t>
      </w:r>
    </w:p>
    <w:p>
      <w:r>
        <w:t>4.4.Â Â Â  Nach dem Gesagten ist der Beginn der Wartefrist auf Anfang 2003 festzulegen, womit das Wartejahr Anfang des Jahres 2004 abgelaufen ist. Auch ab diesem Zeitpunkt ist aufgrund der vorliegenden Berichte eine volle ArbeitsunfÃ¤higkeit der BeschwerdefÃ¼hrerin ausgewiesen.</w:t>
      </w:r>
    </w:p>
    <w:p>
      <w:r>
        <w:t>Â Â Â Â Â Â Â Â  GemÃ¤ss Art. 48 Abs. 2 IVG werden bei verspÃ¤teter Anmeldung die Leistungen (lediglich) fÃ¼r die zwÃ¶lf der Anmeldung vorangehenden Monate ausgerichtet, wenn sich ein Versicherter mehr als zwÃ¶lf Monate nach Entstehen des Anspruchs anmeldet.</w:t>
      </w:r>
    </w:p>
    <w:p>
      <w:r>
        <w:t>Â Â Â Â Â Â Â Â  Da sich die BeschwerdefÃ¼hrerin im November 2005 bei der Invalidenversicherung anmeldete (Urk. 8/1), besteht der Rentenanspruch ab dem 1. November 2004. Dies fÃ¼hrt zur Gutheissung der Beschwerde.</w:t>
      </w:r>
    </w:p>
    <w:p>
      <w:r>
        <w:t>5.Â Â Â Â Â Â  Die Kosten gemÃ¤ss Art. 69 Abs. 1 bis IVG sind ermessensweise auf Fr. 500.-- festzusetzen und der unterliegenden Beschwerdegegnerin aufzuerlegen.</w:t>
      </w:r>
    </w:p>
    <w:p>
      <w:r>
        <w:t>Der Einzelrichter erkennt:</w:t>
      </w:r>
    </w:p>
    <w:p>
      <w:r>
        <w:t>1.Â Â Â Â Â Â Â Â  In Gutheissung der Beschwerde wird die VerfÃ¼gung der Sozialversicherungsanstalt des Kantons ZÃ¼rich, IV-Stelle, vom 5. Mai 2010 insoweit abgeÃ¤ndert, als festgestellt wird, dass die BeschwerdefÃ¼hrerin bereits ab dem 1. November 2004 Anspruch auf eine ganze Invalidenrente hat.</w:t>
      </w:r>
    </w:p>
    <w:p>
      <w:r>
        <w:t>2.Â Â Â Â Â Â Â Â  Die Gerichtskosten von Fr. 500.-- werden der Beschwerdegegnerin auferlegt. Rechnung und Einzahlungsschein werden der Kostenpflichtigen nach Eintritt der Rechtskraft zugestellt.</w:t>
      </w:r>
    </w:p>
    <w:p>
      <w:r>
        <w:t>3.Â Â 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