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IV.2010.00287 vom 5. August 2010</w:t>
      </w:r>
    </w:p>
    <w:p>
      <w:r>
        <w:t>ZH Sozialversicherungsgericht, 2010-08-05, DE</w:t>
      </w:r>
    </w:p>
    <w:p>
      <w:r>
        <w:rPr>
          <w:b/>
        </w:rPr>
        <w:t xml:space="preserve">Quelle: </w:t>
      </w:r>
      <w:r>
        <w:t>https://mcp.opencaselaw.ch/entscheid/zh_sozialversicherungsgericht_IV.2010.00287</w:t>
      </w:r>
    </w:p>
    <w:p>
      <w:r>
        <w:t>FR: ZH_SOZIALVERSICHERUNGSGERICHT IV.2010.00287 du 5 août 2010</w:t>
      </w:r>
    </w:p>
    <w:p>
      <w:r>
        <w:t>IT: ZH_SOZIALVERSICHERUNGSGERICHT IV.2010.00287 del 5 agosto 2010</w:t>
      </w:r>
    </w:p>
    <w:p>
      <w:pPr>
        <w:pStyle w:val="Heading2"/>
      </w:pPr>
      <w:r>
        <w:t>Erwägungen</w:t>
      </w:r>
    </w:p>
    <w:p>
      <w:r>
        <w:rPr>
          <w:b/>
        </w:rPr>
        <w:t>E. 2</w:t>
      </w:r>
    </w:p>
    <w:p>
      <w:r>
        <w:t>2.1Â Â Â Â  Der vorliegenden Streitsache liegt folgender Sachverhalt zugrunde: Der BeschwerdefÃ¼hrer absolvierte ab 1. August 2008 eine Lehre als Detailhandelsfachmann Beratung bei der C.___ in EmmenbrÃ¼cke (Urk. 12/58). Die Beschwerdegegnerin sprach ihm hierzu am 31. Juli 2008 Taggeld und die Kosten der Umschulung zu (Urk. 12/64 und Urk. 12/65). Gleichentags schloss die Beschwerdegegnerin mit dem BeschwerdefÃ¼hrer eine Zielvereinbarung betreffend die Umschulung ab. Dabei verpflichtete sich der BeschwerdefÃ¼hrer zu regelmÃ¤ssiger Teilnahme am Unterricht und zum Unterlassen von unentschuldigten Absenzen. Weiter verpflichtet er sich zur Zustellung der Ausbildungsberichte und Schulzeugnisse und zur sofortigen Kontaktaufnahme mit der Eingliederungsverantwortlichen der Beschwerdegegnerin, falls eine erfolgsversprechende WeiterfÃ¼hrung der Ausbildung gefÃ¤hrdet sein sollte (Urk. 12/68). Am 23. September 2009 teilte das Bildungszentrum D.___ der C.___ mit, dass der BeschwerdefÃ¼hrer den Berufsschulunterricht sehr unregelmÃ¤ssig besuche. Im ersten Lehrjahr habe er 36 unentschuldigte und 46 entschuldigte Absenzen gehabt. Im zweiten Lehrjahr weise er bereits wiederum zahlreiche Absenzen auf (Urk. 12/80/5). Der BeschwerdefÃ¼hrer wurde von der C.___ am 26. Oktober 2009 schriftlich verwarnt und dazu angehalten, die unentschuldigten Absenzen schriftlich zu erklÃ¤ren und zu begrÃ¼nden, den versÃ¤umten Stoff nachzulernen, nicht gemachte PrÃ¼fungen nachzuholen und seine 41 Minusstunden aufzuholen (Urk. 12/83/2). Am 29. Oktober 2009 vereinbarte der BeschwerdefÃ¼hrer mit der Beschwerdegegnerin, dass er in Zukunft keine weiteren oder nur noch wenige, Ã¤rztlich belegte Absenzen aufweisen und er immer pÃ¼nktlich zur Arbeit und zum Schulunterreicht erscheinen werde. Die Beschwerdegegnerin wies den BeschwerdefÃ¼hrer dabei auf Art. 21 ATSG und auf die Folgen einer allfÃ¤lligen Leistungsverweigerung hin (Urk. 12/81). Nachdem das Bildungszentrum D.___ am 17. November 2009 die AuflÃ¶sung des LehrverhÃ¤ltnisses des BeschwerdefÃ¼hrers beantragt hatte (Urk. 12/85), lÃ¶ste die C.___ dieses am 23. November 2009 per 31. Januar 2010 auf, da der BeschwerdefÃ¼hrer den Unterricht weiterhin unregelmÃ¤ssig besucht und die GrÃ¼nde seiner Absenzen nicht bekannt gegeben habe (Urk. 12/84). Daraufhin hob die Beschwerdegegnerin die beruflichen Massnahmen per 11. Dezember 2009 auf (Urk. 2)</w:t>
      </w:r>
    </w:p>
    <w:p>
      <w:r>
        <w:t>2.2Â Â Â Â  Der BeschwerdefÃ¼hrer wies in der Berufsschule unbestrittenermassen zahlreiche, teilweise unentschuldigte Absenzen auf, welche schliesslich zur AuflÃ¶sung des Lehrvertrags fÃ¼hrten. Der BeschwerdefÃ¼hrer weist diese Absenzen auf, obwohl es ihm zumutbar gewesen wÃ¤re, den Unterricht zu besuchen. Die vom BeschwerdefÃ¼hrer angebrachte fehlende schulische LeistungsfÃ¤higkeit steht einem regelmÃ¤ssigen Besuch des Unterrichts nicht entgegen. Ebenfalls nicht von Bedeutung sind allfÃ¤llige Schwierigkeiten am Arbeitsplatz selbst, fÃ¼hrten doch nicht diese, sondern die unentschuldigten Absenzen in der Schule zur VertragsauflÃ¶sung. Inwieweit die konkrete Umschulung als solche unzumutbar war, kann offen bleiben. Entschliesst sich nÃ¤mlich eine versicherte Person dazu, eine Leistung trotz Unzumutbarkeit zu erbringen, hat sie die Folgen, die sich aus der fehlgeschlagenen Eingliederung ergeben, im Rahmen des von ihr zu tragenden Eingliederungsrisikos zu tragen (Kieser, ATSG-Kommentar, ZÃ¼rich 2009, 2. Auflage N 77 zu Art. 21).</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(Art. 21 Abs. 4 ATSG). Die Beschwerdegegnerin ermahnte den BeschwerdefÃ¼hrer am 29. Oktober 2009 unter Hinweis auf Art. 21 ATSG zur Wahrnehmung seiner Mitwirkungspflicht, das heisst zum Besuch der Berufsschule. Die Sanktionsandrohung der Beschwerdegegnerin ist zwar nicht sehr spezifisch formuliert (Textbaustein), doch geht daraus hervor, dass mit dem Entzug der Leistungen, das heisst der beruflichen Massnahmen, gedroht wird. Da der BeschwerdefÃ¼hrer trotz der Aufforderung gemÃ¤ss Art. 21 ATSG seiner Mitwirkungspflicht nicht nachgekommen ist und dem Schulunterreicht teilweise weiterhin fernblieb, hat die Beschwerdegegnerin zu Recht den Anspruch auf berufliche Massnahmen verneint.</w:t>
      </w:r>
    </w:p>
    <w:p>
      <w:r>
        <w:t>2.3Â Â Â Â  Weil der BeschwerdefÃ¼hrer wie dargelegt keinen Anspruch auf Umschulung oder eine andere berufliche Massnahme hat, besteht auch kein Anspruch auf ein Wartetaggeld.</w:t>
      </w:r>
    </w:p>
    <w:p>
      <w:r>
        <w:t>3.Â Â Â Â Â Â  Der BeschwerdefÃ¼hrer beantragt im Eventualstandpunkt, die Sache sei zur Festsetzung einer Invalidenrente an die Beschwerdegegnerin zurÃ¼ckzuweisen.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414).Die Rentenfrage war nicht Bestandteil der VerfÃ¼gung der Beschwerdegegnerin vom 18. Februar 2010 (Urk. 2). Sie ist daher auch nicht Anfechtungsobjekt, weshalb auf das Eventualbegehren nicht eingetreten werden kann.</w:t>
      </w:r>
    </w:p>
    <w:p>
      <w:r>
        <w:t>4.Â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500.-- festzusetzen und dem unterliegenden BeschwerdefÃ¼hrer aufzuerlegen.</w:t>
      </w:r>
    </w:p>
    <w:p>
      <w:r>
        <w:t>Das Gericht erkennt:</w:t>
      </w:r>
    </w:p>
    <w:p>
      <w:r>
        <w:t>1.Â Â Â Â Â Â Â Â  Die Beschwerde wird abgewiesen, soweit auf sie eingetreten wird.</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RechtsanwÃ¤ltin Janine Maeder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