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IV.2009.01157 vom 22. Juli 2010</w:t>
      </w:r>
    </w:p>
    <w:p>
      <w:r>
        <w:t>ZH Sozialversicherungsgericht, 2010-07-22, DE</w:t>
      </w:r>
    </w:p>
    <w:p>
      <w:r>
        <w:rPr>
          <w:b/>
        </w:rPr>
        <w:t xml:space="preserve">Quelle: </w:t>
      </w:r>
      <w:r>
        <w:t>https://mcp.opencaselaw.ch/entscheid/zh_sozialversicherungsgericht_IV.2009.01157</w:t>
      </w:r>
    </w:p>
    <w:p>
      <w:r>
        <w:t>FR: ZH_SOZIALVERSICHERUNGSGERICHT IV.2009.01157 du 22 juillet 2010</w:t>
      </w:r>
    </w:p>
    <w:p>
      <w:r>
        <w:t>IT: ZH_SOZIALVERSICHERUNGSGERICHT IV.2009.01157 del 22 luglio 2010</w:t>
      </w:r>
    </w:p>
    <w:p>
      <w:pPr>
        <w:pStyle w:val="Heading2"/>
      </w:pPr>
      <w:r>
        <w:t>Erwägungen</w:t>
      </w:r>
    </w:p>
    <w:p>
      <w:r>
        <w:rPr>
          <w:b/>
        </w:rPr>
        <w:t>E. 1</w:t>
      </w:r>
    </w:p>
    <w:p>
      <w:r>
        <w:t>1.1Â Â Â Â  Nach Art. 21 Abs. 1 des Bundesgesetzes Ã¼ber die Invalidenversicherung (IVG) hat eine versicherte Person im Rahmen einer vom Bundesrat aufzustellenden Liste Anspruch auf jene Hilfsmittel, deren sie fÃ¼r die AusÃ¼bung der ErwerbstÃ¤tigkeit oder der TÃ¤tigkeit im Aufgabenbereich, zur Erhaltung oder Verbesserung der ErwerbsfÃ¤higkeit, fÃ¼r die Schulung, die Aus- und Weiterbildung oder zum Zwecke der funktionellen AngewÃ¶hnung bedarf. Kosten fÃ¼r Zahnprothesen, Brillen und Schuheinlagen werden nur Ã¼bernommen, wenn diese Hilfsmittel eine wesentliche ErgÃ¤nzung medizinischer Eingliederungsmassnahmen bilden.</w:t>
      </w:r>
    </w:p>
    <w:p>
      <w:r>
        <w:t>Â Â Â Â Â Â Â Â  Die versicherte Person, die infolge ihrer InvaliditÃ¤t fÃ¼r die Fortbewegung, fÃ¼r die Herstellung des Kontaktes mit der Umwelt oder fÃ¼r die Selbstsorge kostspieliger GerÃ¤te bedarf, hat im Rahmen einer vom Bundesrat aufzustellenden Liste ohne RÃ¼cksicht auf die ErwerbsfÃ¤higkeit Anspruch auf solche Hilfsmittel (Art. 21 Abs. 2 IVG).</w:t>
      </w:r>
    </w:p>
    <w:p>
      <w:r>
        <w:t>1.2Â Â Â Â  Der Bundesrat hat im Anhang zur Verordnung Ã¼ber die Abgabe von Hilfsmitteln durch die Invalidenversicherung (HVI) unter Ziffer 11 einige Hilfsmittel fÃ¼r Blinde und hochgradig Sehschwache aufgefÃ¼hrt, die von der Invalidenversicherung Ã¼bernommen werden, wenn sie fÃ¼r die Fortbewegung, die Herstellung des Kontakts mit der Umwelt oder fÃ¼r die Selbstsorge notwendig sind (Art. 2 Abs. 1 HVI). Bei den Sehhilfen sind dies Lupenbrillen, FernglÃ¤ser und FilterglÃ¤ser (Ziffer 11.07).</w:t>
      </w:r>
    </w:p>
    <w:p>
      <w:r>
        <w:t>1.3Â Â Â Â  Art. 21 IVG beschrÃ¤nkt den Leistungsanspruch ausdrÃ¼cklich auf Hilfsmittel, die in der entsprechenden Liste enthalten sind. Der Verordnungsgeber ist nicht verpflichtet, sÃ¤mtliche Hilfsmittel, derer eine invalide Person fÃ¼r eine optimale Eingliederung bedÃ¼rfte, in die Hilfsmittelliste aufzunehmen. Er kann eine Auswahl treffen und die Zahl der Hilfsmittel beschrÃ¤nken. Dabei steht ihm ein weiter Gestaltungsspielraum zu, da das Gesetz keine weiterfÃ¼hrenden Auswahlkriterien enthÃ¤lt. LÃ¤sst sich ein Hilfsmittel keiner der im HVI-Anhang aufgefÃ¼hrten Kategorien zuordnen, ist es nicht zulÃ¤ssig, den Anspruch auf KostenÃ¼bernahme durch die Invalidenversicherung direkt aus der Zielsetzung des Gesetzes abzuleiten (BGE 131 V 14 mit Hinweisen; SVR 2004 IV Nr. 9, I 198/03 Erw. 4.2; Urteil des Bundesgerichts vom 18. September 2009 in Sachen P., 9C_493/2009 Erw. 5.1).</w:t>
      </w:r>
    </w:p>
    <w:p>
      <w:r>
        <w:rPr>
          <w:b/>
        </w:rPr>
        <w:t>E. 2</w:t>
      </w:r>
    </w:p>
    <w:p>
      <w:r>
        <w:t>2.1Â Â Â Â  GemÃ¤ss dem Bericht der Neurologischen Klinik des Y.__ vom 8. Januar 2009 leidet die BeschwerdefÃ¼hrerin aufgrund der Multiplen Sklerose unter anderem an SehstÃ¶rungen in Form von anhaltenden Doppelbildern, die zu einer zusÃ¤tzlichen ErmÃ¼dung fÃ¼hren (Urk. 7/41/2). Sie erhÃ¤lt wegen ihrer Leiden gestÃ¼tzt auf einen InvaliditÃ¤tsgrad von 62 % eine Invalidenrente, im Umfang ihrer ResterwerbsfÃ¤higkeit arbeitet sie in einem Pensum von 50 % als Verwaltungsangestellte.</w:t>
      </w:r>
    </w:p>
    <w:p>
      <w:r>
        <w:t>Â Â Â Â Â Â Â Â  Es ist nicht bestritten, dass die Prismabrille beziehungsweise die PrismenglÃ¤ser, die diese SehstÃ¶rungen lindern sollen und Fr. 480.-- kosten (Urk. 3/2), von der Versicherten vor allem fÃ¼r die AusÃ¼bung ihrer BerufstÃ¤tigkeit benÃ¶tigt werden. Doch ist der Beschwerdegegnerin recht zu geben, dass es sich bei dieser Brille im Invalidenversicherungsrecht um ein Hilfsmittel handelt, das, wenn es fÃ¼r die Erwerbsarbeit notwendig ist, nur unter den Voraussetzungen des Art. 12 Abs. 1 IVG von der Invalidenversicherung Ã¼bernommen werden kann. Mit der 5. IVG-Revision, die am 1. Januar 2008 in Kraft getreten ist, wurde der Anspruch von Erwachsenen auf medizinische Eingliederungsmassnahmen aus dem Recht gestrichen. Solche mÃ¼ssen jedoch gemÃ¤ss Art. 21 Abs. 1 IVG angeordnet sein, damit die Zusprache einer Brille als Hilfsmittel fÃ¼r die Aufrechterhaltung der ErwerbsfÃ¤higkeit mÃ¶glich ist. Medizinische Massnahmen wurden bei der Versicherten nie Ã¼bernommen und kÃ¶nnen nach dem Gesagten auch nicht mehr angeordnet werden.</w:t>
      </w:r>
    </w:p>
    <w:p>
      <w:r>
        <w:t>2.2Â Â Â Â  Die BeschwerdefÃ¼hrerin fÃ¼hrt in der Beschwerde aus, sie brauche die Brille selbst zum Treppensteigen, zum Einkaufen und auch zur Fortbewegung zum Arbeitsplatz usw. (Urk. 1). Selbst wenn aber von einem erweiterten und gar dominanten Anwendungsbereich der Prismabrille ausserhalb des Erwerbsbereichs auszugehen wÃ¤re, gilt die Versicherte mit ihrer MotilitÃ¤tstÃ¶rung nicht als hochgradig sehschwach im Sinne von Ziffer 11 HVI-Anhang, zudem sind die PrismenglÃ¤ser in der Liste des Bundesrates nicht aufgefÃ¼hrt.</w:t>
      </w:r>
    </w:p>
    <w:p>
      <w:r>
        <w:t>2.3Â Â Â Â  Damit besteht fÃ¼r die Invalidenversicherung kein Spielraum, die fraglichen GlÃ¤ser beziehungsweise die Brille zu Ã¼bernehmen. Dies fÃ¼hrt zur Abweisung der Beschwerde.</w:t>
      </w:r>
    </w:p>
    <w:p>
      <w:r>
        <w:t>3.Â Â Â Â Â Â  Abweichend von Art. 61 lit. a ATSG ist das Beschwerdeverfahren bei Streitigkeiten um die Bewilligung oder die Verweigerung von IV-Leistungen vor dem kantonalen Versicherungsgericht kostenpflichtig. Die Kosten werden nach dem Verfahrensaufwand und unabhÃ¤ngig vom Streitwert im Rahmen von 200-1000 Franken festgelegt (Art. 69 Abs. 1 bis IVG).</w:t>
      </w:r>
    </w:p>
    <w:p>
      <w:r>
        <w:t>Â Â Â Â Â Â Â Â  Da sich der Streit um die Verweigerung von Leistungen dreht und die BeschwerdefÃ¼hrerin unterliegt, sind die Kosten des Verfahrens von Fr. 300.-- ihr zu Ã¼berbinden.</w:t>
      </w:r>
    </w:p>
    <w:p>
      <w:r>
        <w:t>Das Gericht erkennt:</w:t>
      </w:r>
    </w:p>
    <w:p>
      <w:r>
        <w:t>1.Â Â Â Â Â Â Â Â  Die Beschwerde wird abgewiesen.</w:t>
      </w:r>
    </w:p>
    <w:p>
      <w:r>
        <w:t>2.Â Â Â Â Â Â Â Â  Die Gerichtskosten von Fr. 300.-- werden der BeschwerdefÃ¼hrerin auferlegt. Rechnung und Einzahlungsschein werden der Kostenpflichtigen nach Eintritt der Rechtskraft zugestellt.</w:t>
      </w:r>
    </w:p>
    <w:p>
      <w:r>
        <w:t>3.Â Â Â Â Â Â Â Â  Zustellung gegen Empfangsschein an:</w:t>
      </w:r>
    </w:p>
    <w:p>
      <w:r>
        <w:t>- X.___</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