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IV.2009.01077 vom 31. Oktober 2011</w:t>
      </w:r>
    </w:p>
    <w:p>
      <w:r>
        <w:t>ZH Sozialversicherungsgericht, 2011-10-31, DE</w:t>
      </w:r>
    </w:p>
    <w:p>
      <w:r>
        <w:rPr>
          <w:b/>
        </w:rPr>
        <w:t xml:space="preserve">Quelle: </w:t>
      </w:r>
      <w:r>
        <w:t>https://mcp.opencaselaw.ch/entscheid/zh_sozialversicherungsgericht_IV.2009.01077</w:t>
      </w:r>
    </w:p>
    <w:p>
      <w:r>
        <w:t>FR: ZH_SOZIALVERSICHERUNGSGERICHT IV.2009.01077 du 31 octobre 2011</w:t>
      </w:r>
    </w:p>
    <w:p>
      <w:r>
        <w:t>IT: ZH_SOZIALVERSICHERUNGSGERICHT IV.2009.01077 del 31 ottobre 2011</w:t>
      </w:r>
    </w:p>
    <w:p>
      <w:pPr>
        <w:pStyle w:val="Heading2"/>
      </w:pPr>
      <w:r>
        <w:t>Erwägungen</w:t>
      </w:r>
    </w:p>
    <w:p>
      <w:r>
        <w:rPr>
          <w:b/>
        </w:rPr>
        <w:t>E. 2</w:t>
      </w:r>
    </w:p>
    <w:p>
      <w:r>
        <w:t>2.1Â Â Â Â  Die versicherte Person, die zu mindestens 50 % arbeitsunfÃ¤hig ist und auf den Beginn einer erstmaligen beruflichen Ausbildung oder einer Umschulung warten muss, hat gemÃ¤ss Art. 22 Abs. 6 des Bundesgesetzes Ã¼ber die Invalidenversicherung (IVG) in Verbindung mit Art. 18 der Verordnung Ã¼ber die Invalidenversicherung (IVV) wÃ¤hrend der Wartezeit Anspruch auf ein Taggeld (Abs. 1). Der Anspruch entsteht im Zeitpunkt, in welchem die IV-Stelle feststellt, dass eine erstmalige berufliche Ausbildung oder eine Umschulung angezeigt ist (Abs. 2). RentenbezÃ¼ger, die sich einer Eingliederungsmassnahme unterziehen, haben keinen Anspruch auf ein Taggeld fÃ¼r die Wartezeit (Abs. 3). Soweit Versicherte einen Anspruch auf ein Taggeld der Arbeitslosenversicherung haben, besteht kein Anspruch auf das Taggeld der Invalidenversicherung (Abs. 4).</w:t>
      </w:r>
    </w:p>
    <w:p>
      <w:r>
        <w:t>2.2Â Â Â Â  Versicherte haben wÃ¤hrend der DurchfÃ¼hrung von Eingliederungsmassnahmen nach Art. 8 Abs. 3 IVG Anspruch auf ein Taggeld, wenn sie an wenigstens drei aufeinander folgenden Tagen wegen der Massnahmen verhindert sind, einer Arbeit nachzugehen, oder in ihrer gewohnten TÃ¤tigkeit zu mindestens 50 % arbeitsunfÃ¤hig (Art. 6 des Bundesgesetzes Ã¼ber den Allgemeinen Teil des Sozialversicherungsrechts [ATSG]) sind (Art. 22 Abs. 1 IVG). Das Taggeld besteht aus einer GrundentschÃ¤digung, auf die alle Versicherten Anspruch haben, und einem Kindergeld fÃ¼r Versicherte mit Kindern (Art. 22 Abs. 2 IVG). Die GrundentschÃ¤digung betrÃ¤gt 80 % des letzten ohne gesundheitliche EinschrÃ¤nkung erzielten Erwerbseinkommens, jedoch nicht mehr als 80 % des HÃ¶chstbetrages des Taggeldes nach Art. 24 Abs. 1 IVG (Art. 23 Abs. 1 IVG). Grundlage fÃ¼r die Ermittlung des Erwerbseinkommens nach Art. 23 Abs. 1 IVG bildet das durchschnittliche Einkommen, von dem BeitrÃ¤ge nach dem Bundesgesetz Ã¼ber die Alters- und Hinterlassenenversicherung (AHVG) erhoben werden (massgebendes Erwerbseinkommen; Art. 23 Abs. 3 IVG). Als erwerbstÃ¤tig gelten unter anderem Versicherte, die unmittelbar vor Beginn ihrer ArbeitsunfÃ¤higkeit (Art. 6 ATSG) eine ErwerbstÃ¤tigkeit ausgeÃ¼bt haben (Art. 20 sexies Abs. 1 lit. a IVV). Liegt die von der versicherten Person zuletzt voll ausgeÃ¼bte TÃ¤tigkeit mehr als zwei Jahre zurÃ¼ck, so ist auf das Erwerbseinkommen abzustellen, das die versicherte Person durch die gleiche TÃ¤tigkeit unmittelbar vor der Eingliederung erzielt hÃ¤tte, wenn sie nicht invalid geworden wÃ¤re (Art. 21 Abs. 3 IVV).</w:t>
      </w:r>
    </w:p>
    <w:p>
      <w:r>
        <w:t>2.3Â Â Â Â  Personen, die in einem auf Dauer angelegten ArbeitsverhÃ¤ltnis stehen und deren Einkommen keinen starken Schwankungen ausgesetzt ist, gelten als Versicherte mit regelmÃ¤ssigem Einkommen, auch wenn sie ihre Arbeit infolge Krankheit, Unfall, Arbeitslosigkeit, Dienst, oder aus anderen, von ihnen nicht verschuldeten GrÃ¼nden unterbrochen haben (Art. 21 bis Abs. 1 IVV). Ein auf Dauer angelegtes ArbeitsverhÃ¤ltnis liegt vor, wenn es unbefristet ist oder fÃ¼r mindestens ein Jahr eingegangen wurde (Art. 21 bis Abs. 2 IVV). Das massgebende Einkommen wird auf den Tag ausgerechnet. FÃ¼r Versicherte mit MonatslÃ¶hnen wird der letzte ohne gesundheitliche EinschrÃ¤nkungen erzielte Monatslohn mit zwÃ¶lf vervielfacht. Dem ermittelten Jahreslohn wird ein allfÃ¤lliger 13. Monatslohn hinzugerechnet. Der so ermittelte Jahresverdienst wird durch 365 geteilt (Art. 21 bis Abs. 3 lit.a IVV).</w:t>
      </w:r>
    </w:p>
    <w:p>
      <w:r>
        <w:t>2.4Â Â Â Â  Ãbt eine versicherte Person wÃ¤hrend der Eingliederung eine ErwerbstÃ¤tigkeit aus, so wird das Taggeld gemÃ¤ss (Art. 21 septies Abs. 1 IVV) soweit gekÃ¼rzt, als es zusammen mit dem aus dieser TÃ¤tigkeit erzielten Einkommen das gemÃ¤ss den Artikeln 21-21 quinquies IVV massgebende Erwerbseinkommen Ã¼bersteigt. Artikel 22 Absatz 5 IVV bleibt vorbehalten. FÃ¼r die KÃ¼rzung des Taggeldes ist das Erwerbseinkommen zu berÃ¼cksichtigen, das die versicherte Person mit der wÃ¤hrend der Eingliederung ausgeÃ¼bten TÃ¤tigkeit erzielt hat. FÃ¼r Arbeitnehmer entspricht dieses Erwerbseinkommen dem massgebenden Lohn im Sinne von Artikel 5 AHVG, fÃ¼r SelbststÃ¤ndigerwerbende dem Einkommen, von dem BeitrÃ¤ge nach dem AHVG erhoben werden (Art. 21 septies Abs. 2 IVV). Finanzielle Leistungen des Arbeitgebers wÃ¤hrend der Eingliederung, fÃ¼r die die versicherte Person keine spezielle Arbeitsleistung erbringt, werden laut Art. 21 septies Abs. 3 IVV fÃ¼r die KÃ¼rzung nicht berÃ¼cksichtigt (Soziallohn).</w:t>
      </w:r>
    </w:p>
    <w:p>
      <w:r>
        <w:t>2.5Â Â Â Â  Der erstinstanzliche Sozialversicherungsprozess ist vom Untersuchungsgrundsatz beherrscht (Art. 61 lit. c ATSG). Danach hat das Gericht von Amtes wegen fÃ¼r die richtige und vollstÃ¤ndige AbklÃ¤rung des rechtserheblichen Sachverhaltes zu sorgen. Dieser Grundsatz gilt indessen nicht uneingeschrÃ¤nkt; er findet sein Korrelat in den Mitwirkungspflichten der Parteien (BGE 125 V 193 E. 2 S. 195;Â  122 V 157 E. 1a S. 158; vgl. BGE 130 I 180 E. 3.2 S. 183).Â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 S. 264).</w:t>
      </w:r>
    </w:p>
    <w:p>
      <w:r>
        <w:rPr>
          <w:b/>
        </w:rPr>
        <w:t>E. 3</w:t>
      </w:r>
    </w:p>
    <w:p>
      <w:r>
        <w:t>3.1Â Â Â Â  Streitig und zu prÃ¼fen ist die Bemessung des Taggeldes. Umstritten ist insbesondere die HÃ¶he des letzten ohne gesundheitliche EinschrÃ¤nkung erzielten Erwerbseinkommens. WÃ¤hrend die IV-Stelle gestÃ¼tzt auf die Feststellungen der Basler davon ausging, dass der BeschwerdefÃ¼hrer als Gesunder im Rahmen der Anstellung bei der B.___ GmbH zuletzt ein Jahreseinkommen von Fr. 58'500.-- (13 x Fr. 4'500.--) erzielte (vgl. Urk. 8 S. 3 E. 3b), macht der BeschwerdefÃ¼hrer unter Verweis auf ein weiteres ArbeitsverhÃ¤ltnis mit der Firma E.___ GmbH geltend, der Taggeldberechnung sei ein hÃ¶heres Einkommen zugrunde zu legen (Urk. 1, 10/1, 22/1, 14).</w:t>
      </w:r>
    </w:p>
    <w:p>
      <w:r>
        <w:t>3.2Â Â Â Â  Die IV-Stelle hat die Akten eingehend gewÃ¼rdigt und zutreffend festgehalten, weshalb nicht rechtsgenÃ¼glich belegt ist, dass der BeschwerdefÃ¼hrer als Gesunder zuletzt ein Jahreseinkommen von Ã¼ber Fr. 58'500.-- (13 x Fr. 4'500.--) erzielte. Darauf kann grundsÃ¤tzlich verwiesen werden. Was der BeschwerdefÃ¼hrer hiegegen einwendet, ist nicht stichhaltig. Bei den von ihm selbst unterzeichneten Lohnausweisen fÃ¼r die Jahre 2007 und 2008 (Urk. 3/8, 3/9, 9/88/5, 9/141/75, 9/141/77) sowie bei den Angaben in den SteuererklÃ¤rungen (vgl. Urk. 3/7, 9/88, 8/183) und im individuellen Konto (Urk. 3/12, 9/69/3, 9/145) handelt es sich lediglich um Parteibehauptungen (vgl. Urteil des damaligen EidgenÃ¶ssischen Versicherungsgerichts C 263/04 vom 30. MÃ¤rz 2006 E.2.2). Auch gestÃ¼tzt auf die Lohnabrechnungen der Monate August 2007 bis Oktober 2009 (Urk. 9/141/22-72, 3/10, 3/11) lÃ¤sst sich entgegen der Auffassung des BeschwerdefÃ¼hrers nicht darauf schliessen, dass ihm die betreffenden Lohnsummen tatsÃ¤chlich ausbezahlt wurden. Bei der WÃ¼rdigung dieser Beweismittel ist der Tatsache Rechnung zu tragen, dass der BeschwerdefÃ¼hrer fÃ¼r die B.___ GmbH vom 6. September 1999 bis 6. November 2002 und vom 7. Februar 2008 bis 8. Oktober 2010 und fÃ¼r die E.___ GmbH vom 10. Februar 2002 bis 6. November 2002 und vom 24. Oktober 2008 bis 15. Oktober 2010 jeweils die Funktion eines GeschÃ¤ftsfÃ¼hrers mit Einzelzeichnungsberechtigung innehatte und in den Zeiten dazwischen als Gesellschafter mit Einzelunterschrift im Handelsregister eingetragen war (Urk. 24/1, 24/2). Der BeschwerdefÃ¼hrer hatte somit eine beherrschende Stellung in den beiden Firmen, weshalb die Angaben in den Lohnausweisen und auf den Lohnabrechnungen mit besonderer Vorsicht zu wÃ¼rdigen sind.</w:t>
      </w:r>
    </w:p>
    <w:p>
      <w:r>
        <w:t>3.3Â Â Â Â  Feststeht sodann, dass der BeschwerdefÃ¼hrer in der von ihm selbst ausgefÃ¼llten Schadenmeldung vom 19. Oktober 2007 lediglich angab, als GeschÃ¤ftsfÃ¼hrer fÃ¼r die B.___ GmbH tÃ¤tig zu sein und einen Monatslohn von Fr. 4'500.-- beziehungsweise einen Jahreslohn von Fr. 58'500.-- (13 x Fr. 4'500.--) zu erzielen (Urk. 9/76/2). Weitere Arbeitgeber erwÃ¤hnte der BeschwerdefÃ¼hrer trotz entsprechender Rubrik auf der Schadenmeldung (vgl. Urk. 9/76/2 Ziff. 13) nicht, obwohl der spÃ¤ter von ihm eingereichte Arbeitsvertrag zwischen ihm und der E.___ GmbH vom 29. Juni 2007 datiert (Urk. 9/105/11). In diesem wurde ab Stellenantritt als GeschÃ¤ftsfÃ¼hrer per 1. August 2007 ein Monatslohn von Fr. 4'500.-- (x 13) beziehungsweise ab 1. Januar 2008 ein solcher von Fr. 6'000.-- (x 13) vereinbart, wobei auffÃ¤llt, dass der Wortlaut des ebenfalls vom 29. Juni 2007 datierten Arbeitsvertrags zwischen dem BeschwerdefÃ¼hrer und der B.___ GmbH im Wesentlichen identisch ist. Festzuhalten ist ferner, dass weder G.___, der den Arbeitsvertrag fÃ¼r die B.___ GmbH unterzeichnete (Urk. 9/105/10), noch F.___, die fÃ¼r die E.___ GmbH auf Arbeitgeberseite die Unterschrift leistete (Urk. 9/105/14) im betreffenden Zeitpunkt gemÃ¤ss Internet-Auszug des Handelsregisters des Kantons ZÃ¼rich zeichnungsberechtigt waren (Urk. 24/1, 24/2), was ernsthafte Zweifel an der GÃ¼ltigkeit der ArbeitsvertrÃ¤ge weckt. Dazu kommt, dass im Zeitpunkt der Vertragsunterzeichnung - im Widerspruch zu den ArbeitsvertrÃ¤gen vom 29. Juni 2007 - nicht der BeschwerdefÃ¼hrer sondern H.___ sowohl als GeschÃ¤ftsfÃ¼hrer der E.___ GmbH (vom 6. November 2002 bis 24. Oktober 2008) als auch als GeschÃ¤ftsfÃ¼hrer der B.___ GmbH (vom 6. November 2002 bis 7. Februar 2008) mit Einzelunterschrift im Handelsregister eingetragen war (Urk. 24/2, 24/1). Weiter ist bemerkenswert, dass sich die in den beiden ArbeitsvertrÃ¤gen vereinbarten wÃ¶chentlichen Arbeitszeiten (bis zu 54 Stunden bei der B.___ GmbH [Urk. 9/105/8 Ziff. 5] beziehungsweise bis zu 45 Stunden bei der E.___ GmbH [Urk. 9/105/12 Ziff. 5]) auf insgesamt bis zu 99 Stunden summieren und sich das JahressalÃ¤r des BeschwerdefÃ¼hrers gemÃ¤ss ArbeitsvertrÃ¤gen vom 29. Juni 2007 auf total Fr. 117'000.-- respektive ab 1. Januar 2008 auf total Fr. 156'000.-- belaufen hÃ¤tte (Urk. 9/105/8 Ziff. 7, 9/105/12 Ziff. 7). Ein Blick in den Auszug aus dem individuellen Konto zeigt allerdings, dass vor dem Unfallereignis vom 8. August 2007 lediglich in den Jahren 2000 und 2002 relativ bescheidene Einkommen aus TÃ¤tigkeiten fÃ¼r die B.___ GmbH (Fr. 8'616.-- im Jahr 2000) und fÃ¼r die E.___ GmbH (Fr. 18'000.-- im Jahr 2002) abgerechnet worden waren (Urk. 9/80, 3/12) und der BeschwerdefÃ¼hrer Ã¼berhaupt wÃ¤hrend seiner ganzen Erwerbskarriere (vor dem Unfallereignis) weder aus selbstÃ¤ndiger noch aus unselbstÃ¤ndiger TÃ¤tigkeit je ein Einkommen mit den Sozialversicherungen abgerechnet hatte, das die von der IV-Stelle der Taggeldberechnung zugrundegelegten Fr. 58'500.-- Ã¼berstieg (vgl. Urk. 9/80). Dass und warum sich das Einkommen des BeschwerdefÃ¼hrers aus seiner selbstÃ¤ndigen ErwerbstÃ¤tigkeit wenige Tage vor dem erlittenen Unfall beinahe schlagartig um ein Vielfaches hÃ¤tte erhÃ¶hen sollen, ist unter diesen UmstÃ¤nden nicht nachvollziehbar.</w:t>
      </w:r>
    </w:p>
    <w:p>
      <w:r>
        <w:t>3.4Â Â Â Â  Entscheidend ist schliesslich, dass der zustÃ¤ndige Revisor der Ausgleichskasse in seinen Berichten Ã¼ber die an Ort und Stelle durchgefÃ¼hrten Arbeitgeberkontrollen der E.___ GmbH (Kontrollperiode 2008) und der B.___ GmbH (Kontrollperiode 2005-2008) vom 12. MÃ¤rz 2010 zum Schluss kam, dass aufgrund der geprÃ¼ften Unterlagen, des grossen Anteils von Buchungen Ã¼ber die Position Kasse und der sehr beschrÃ¤nkt vorhandenen Auskunftsbereitschaft des BeschwerdefÃ¼hrers in Frage gestellt werden kÃ¶nne, ob die beiden Firmen aufgrund ihrer TÃ¤tigkeiten in der Lage gewesen wÃ¤ren, die vereinbarten Lohnzahlungen (und somit die gegenÃ¼ber der Sozialversicherungsanstalt des Kantons ZÃ¼rich deklarierten LÃ¶hne) zu leisten beziehungsweise die entstandenen Kontokorrentverbindlichkeiten zu begleichen, zumal durch den BeschwerdefÃ¼hrer kein entsprechender Nachweis habe erbracht werden kÃ¶nnen (Urk. 22/7/17/5 Ziff. 8, 22/7/16/5 Ziff. 8). Im Rahmen der PrÃ¼fungshandlungen stellte der Revisor unter anderem fest, dass mittels Einsicht in Kontodetails lediglich ein Umsatz mit externen Kunden in der HÃ¶he von circa Fr. 8'450.-- (E.___ GmbH) beziehungsweise von circa Fr. 13'349.-- (B.___ GmbH) habe verifiziert werden kÃ¶nnen. Der weitaus grÃ¶ssere Teil des Umsatzes sei Ã¼ber die Position Kasse beziehungsweise Debitoren gebucht worden und kÃ¶nne somit nicht verifiziert werden. Die LÃ¶hne seien faktisch nicht oder nur teilweise ausbezahlt sondern dem Kontokorrent belastet worden. Die Durchsicht des PC-Kontos der B.___ GmbH habe sehr viele Querbuchungen innerhalb der Firmenkonti gezeigt. Effektive ZahlungsstrÃ¶me von extern (Cash Inflows) hÃ¤tten nur wenige identifiziert werden kÃ¶nnen. Es habe sich dabei vor allem um Bareinlagen sowie um Zahlungen von Unfalltaggeldern und nur in geringem Masse um Zahlungen aus der GeschÃ¤ftstÃ¤tigkeit gehandelt. Externe Cash-Inflows, die auf eine GeschÃ¤ftstÃ¤tigkeit im Zusammenhang mit dem Firmenzweck hindeuteten, seien somit nur in beschrÃ¤nktem Masse festgestellt worden (Urk. 22/7/17/5, 22/7/16/5).</w:t>
      </w:r>
    </w:p>
    <w:p>
      <w:r>
        <w:t>3.5Â Â Â Â  Zusammengefasst kann nach dem Gesagten festgehalten werden, dass nicht mit der erforderlichen Wahrscheinlichkeit erstellt ist, dass der BeschwerdefÃ¼hrer als Gesunder zuletzt ein Fr. 58'500.-- (13 x Fr. 4'500.--) Ã¼bersteigendes Jahreseinkommen erzielt hat. Daran vermÃ¶gen auch die Ã¼brigen Einwendungen des BeschwerdefÃ¼hrers nichts zu Ã¤ndern. Da die Taggeldberechnung der IV-Stelle im Ãbrigen in masslicher Hinsicht nicht umstritten ist und kein Anlass besteht, an ihrer Richtigkeit zu zweifeln, hat es damit sein Bewenden. Dies fÃ¼hrt zur Abweisung der Beschwerde.</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