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IV.2009.01044 vom 5. August 2010</w:t>
      </w:r>
    </w:p>
    <w:p>
      <w:r>
        <w:t>ZH Sozialversicherungsgericht, 2010-08-05, DE</w:t>
      </w:r>
    </w:p>
    <w:p>
      <w:r>
        <w:rPr>
          <w:b/>
        </w:rPr>
        <w:t xml:space="preserve">Quelle: </w:t>
      </w:r>
      <w:r>
        <w:t>https://mcp.opencaselaw.ch/entscheid/zh_sozialversicherungsgericht_IV.2009.01044</w:t>
      </w:r>
    </w:p>
    <w:p>
      <w:r>
        <w:t>FR: ZH_SOZIALVERSICHERUNGSGERICHT IV.2009.01044 du 5 août 2010</w:t>
      </w:r>
    </w:p>
    <w:p>
      <w:r>
        <w:t>IT: ZH_SOZIALVERSICHERUNGSGERICHT IV.2009.01044 del 5 agosto 2010</w:t>
      </w:r>
    </w:p>
    <w:p>
      <w:pPr>
        <w:pStyle w:val="Heading2"/>
      </w:pPr>
      <w:r>
        <w:t>Erwägungen</w:t>
      </w:r>
    </w:p>
    <w:p>
      <w:r>
        <w:rPr>
          <w:b/>
        </w:rPr>
        <w:t>E. 3</w:t>
      </w:r>
    </w:p>
    <w:p>
      <w:r>
        <w:t>3.1Â Â Â Â  GemÃ¤ss Anhang 1 Ziffer 6.4 zum KHMI (gÃ¼ltig ab 1. Januar 2008, Stand 1. Januar 2009) betrÃ¤gt der monatliche HÃ¶chstbetrag fÃ¼r Dienstleistungen Dritter im Sinne von Rz 1042 KHMI Fr. 1'710.-- (jedoch nicht mehr als das monatliche Einkommen).</w:t>
      </w:r>
    </w:p>
    <w:p>
      <w:r>
        <w:t>Â Â Â Â Â Â Â Â  Wie die Beschwerdegegnerin zu Recht bemerkte, hat sie der BeschwerdefÃ¼hrerin somit den laut dem genannten Kreisschreiben zulÃ¤ssigen HÃ¶chstbetrag an ihre Fahrtkosten zugesprochen.</w:t>
      </w:r>
    </w:p>
    <w:p>
      <w:r>
        <w:rPr>
          <w:b/>
        </w:rPr>
        <w:t>E. 3.2</w:t>
      </w:r>
    </w:p>
    <w:p>
      <w:r>
        <w:t>3.2.1Â Â Â Â Â Â Â Â  Verwaltungsanweisungen des BSV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131 V 45 Erw. 2.3).</w:t>
      </w:r>
    </w:p>
    <w:p>
      <w:r>
        <w:t>3.2.2Â Â  In Art. 3 Abs. 1 der seit dem 1. Januar 2009 in Kraft stehenden Verordnung 09 Ã¼ber die Anpassungen an die Lohn- und Preisentwicklung bei der AHV/IV/EO wurde der Mindestbetrag der vollen Altersrente nach Art. 34 Abs. 5 des Bundesgesetzes Ã¼ber die Alters- und Hinterlassenenversicherung (AHVG) auf Fr. 1'140.-- festgesetzt. Seit dem 1. Januar 2009 betrÃ¤gt somit der anderthalbfache Mindestbetrag der ordentlichen einfachen Altersrente Fr. 1'710.-- (= 1,5 x Fr. 1'140.--).</w:t>
      </w:r>
    </w:p>
    <w:p>
      <w:r>
        <w:t>Â Â Â Â Â Â Â Â  In KHMI Anhang 1 Ziffer 6.4 (Stand 1. Januar 2009) wurde somit der in Art. 9 Abs. 2 HVI (und KHMI Rz 1042) als HÃ¶chstbetrag bestimmte "anderthalbfache Mindestbetrag der ordentlichen einfachen Altersrente" entsprechend Art. 3 Abs. 1 der Verordnung 09 Ã¼ber die Anpassungen an die Lohn- und Preisentwicklung bei der AHV/IV/EO - korrekt - mit Fr. 1'710.-- beziffert.</w:t>
      </w:r>
    </w:p>
    <w:p>
      <w:r>
        <w:rPr>
          <w:b/>
        </w:rPr>
        <w:t>E. 3.3</w:t>
      </w:r>
    </w:p>
    <w:p>
      <w:r>
        <w:t>3.3.1Â Â  Fragen liesse sich einzig, ob die in Art. 9 Abs. 2 HVI festgelegte HÃ¶chstgrenze fÃ¼r die VergÃ¼tung der Kosten gemÃ¤ss Art. 9 Abs. 1 HVI verfassungs- und gesetzmÃ¤ssig ist.</w:t>
      </w:r>
    </w:p>
    <w:p>
      <w:r>
        <w:t>3.3.2Â Â  Nach der Rechtsprechung kann das Gericht Verordnungen des Bundesrates (oder - im Rahmen zulÃ¤ssiger Subdelegation - des Departements) grundsÃ¤tzlich auf ihre RechtmÃ¤ssigkeit hin Ã¼berprÃ¼fen. Bei unselbstÃ¤ndigen (nicht direkt auf Verfassung abgestÃ¼tzten Verordnungen) geht es in erster Linie darum zu beurteilen, ob sie sich im Rahmen der Delegationsnorm halten. Besteht ein sehr weiter Spielraum des Ermessens fÃ¼r die Regelung auf Verordnungsebene, muss sich das Gericht auf die PrÃ¼fung beschrÃ¤nken, ob die umstrittenen Vorschriften offensichtlich aus dem Rahmen der im Gesetz delegierten Kompetenzen herausfallen oder aus anderen GrÃ¼nden gesetzes- oder verfassungswidrig sind. Es kann jedoch sein eigenes Ermessen nicht an die Stelle desjenigen des Bundesrates oder des Departements setzen, und es hat auch nicht die ZweckmÃ¤ssigkeit zu untersuchen (BGE 131 V 14 Erw. 3.4 und 3.4.1 mit Hinweisen).</w:t>
      </w:r>
    </w:p>
    <w:p>
      <w:r>
        <w:t>3.3.3Â Â  Art. 9 Abs. 2 HVI ist insofern bundesrechtskonform, als die ErmÃ¤chtigung des EidgenÃ¶ssischen Departements des Innern zur Festsetzung von BeitrÃ¤gen an die Kosten fÃ¼r Dienstleistungen Dritter auf zulÃ¤ssiger Gesetzesdelegation beruht (Art. 21 bis Abs. 3 IVG in Verbindung mit Art. 14 lit. c IVV). In Art. 14 lit. c IVV hat der Bundesrat nÃ¤mlich die Befugnis, nÃ¤here Bestimmungen Ã¼ber die BeitrÃ¤ge an die Kosten fÃ¼r Dienstleistungen Dritter, welche anstelle eines Hilfsmittels benÃ¶tigt werden, zu erlassen, - ebenfalls (vgl. ErwÃ¤gung 1.1) - an das EidgenÃ¶ssische Departement des Innern Ã¼bertragen.</w:t>
      </w:r>
    </w:p>
    <w:p>
      <w:r>
        <w:t>Â Â Â Â Â Â Â Â  Wie eingangs erwÃ¤hnt, werden gemÃ¤ss Art. 21 Abs. 3 IVG Hilfsmittel zu Eigentum oder leihweise in einfacher und zweckmÃ¤ssiger AusfÃ¼hrung abgegeben oder pauschal vergÃ¼tet (Satz 1). Durch eine andere AusfÃ¼hrung verursachte zusÃ¤tzliche Kosten hat die versicherte Person selbst zu tragen (Satz 2).</w:t>
      </w:r>
    </w:p>
    <w:p>
      <w:r>
        <w:t>Â Â Â Â Â Â Â Â  In Art. 21 bis Abs. 2 IVG hat der Gesetzgeber klar zum Ausdruck gebracht, dass es um blosse BeitrÃ¤ge an die Kosten fÃ¼r Dienstleistungen Dritter geht (vgl. auch Art. 21 bis Abs. 1 IVG [AmortisationsbeitrÃ¤ge fÃ¼r Hilfsmittel, auf welches eine versicherte Person Anspruch und welches sie auf eigene Kosten angeschafft hat]). Aus dem Gesetz lÃ¤sst sich somit ein Anspruch auf eine vollstÃ¤ndige KostenÃ¼bernahme nicht ableiten.</w:t>
      </w:r>
    </w:p>
    <w:p>
      <w:r>
        <w:t>Â Â Â Â Â Â Â Â  Das EidgenÃ¶ssische Versicherungsgericht hat wiederholt festgestellt, dass Art. 21 Abs. 1 und 4 IVG dem Bundesrat bzw. Art. 14 IVV dem zustÃ¤ndigen Departement einen weiten Spielraum einrÃ¤umen (BGE 133 V 513 Erw. 4.3 mit Hinweisen). Gleiches muss in Bezug auf Art. 21 bis Abs. 3 IVG bzw. Art. 14 lit. c IVV gelten.</w:t>
      </w:r>
    </w:p>
    <w:p>
      <w:r>
        <w:t>Â Â Â Â Â Â Â Â  Es sind keine GrÃ¼nde auszumachen, welche gegen die vom EidgenÃ¶ssischen Departement des Innern vorgenommene Bemessung der BeitrÃ¤ge gemÃ¤ss Art. 21 bis Abs. 2 IVG sprechen. Laut Art. 9 Abs. 2 der vom 1. Januar 1977 bis 31. Dezember 1982 gÃ¼ltig gewesenen Verordnung Ã¼ber die Abgabe von Hilfsmitteln (HV) entsprach damals der HÃ¶chstbetrag der VergÃ¼tung der HÃ¶he der HilflosenentschÃ¤digung bei Hilflosigkeit schweren Grades. Per 1. Januar 1983 wurde die HVI erlassen, wobei in Art. 9 Abs. 2 HVI neu festgelegt wurde, dass die VergÃ¼tung weder den Betrag des monatlichen Erwerbseinkommens noch den anderthalbfachen Mindestbetrag der ordentlichen einfachen Altersrente Ã¼bersteigen darf (vgl. ZAK 1982 Seite 426 ff.). Die ordentliche einfache Altersrente wurde resp. wird regelmÃ¤ssig an die Lohn- und Preisentwicklung angepasst (zuletzt in der Verordnung 09 Ã¼ber die Anpassungen an die Lohn- und Preisentwicklung bei der AHV/IV/EO). Dementsprechend erhÃ¶ht(e) sich jeweils auch der HÃ¶chstbetrag der monatlichen VergÃ¼tung gemÃ¤ss Art. 9 Abs. 2 HVI.</w:t>
      </w:r>
    </w:p>
    <w:p>
      <w:r>
        <w:t>Â Â Â Â Â Â Â Â  Die in Art. 9 Abs. 2 HVI getroffene Regelung steht demnach mit den gesetzlichen Vorschriften in Einklang und kann als bewÃ¤hrt bezeichnet werden. Sie scheint denn auch Akzeptanz gefunden zu haben, bildete sie doch, soweit ersichtlich, weder beim hiesigen Gericht noch beim EidgenÃ¶ssischen Versicherungsgericht resp. Bundesgericht je Gegenstand einer Beschwerde.</w:t>
      </w:r>
    </w:p>
    <w:p>
      <w:r>
        <w:t>3.4Â Â Â Â  Es ergibt sich somit, dass die Beschwerdegegnerin der BeschwerdefÃ¼hrerin zu Recht einen Kostenbeitrag von hÃ¶chstens Fr. 1'710.-- pro Monat an die Taxikosten zugesprochen hat. Die Beschwerde ist deshalb abzuweisen.</w:t>
      </w:r>
    </w:p>
    <w:p>
      <w:r>
        <w:t>4.Â Â Â Â Â Â  Der VollstÃ¤ndigkeit halber ist zu bemerken, dass gemÃ¤ss Rz 1041 KHMI bei Dienstleistungen Dritter nur die nachgewiesenen, effektiv angefallenen Kosten Ã¼bernommen werden, wobei diese der versicherten Person in Rechnung gestellt werden mÃ¼ssen. Ist der monatliche Aufwand voraussichtlich stabil, so kÃ¶nnen die Leistungen durch Festsetzung eines angemessenen Pauschalbetrages abgegolten werden. In diesen FÃ¤llen sind die VerhÃ¤ltnisse periodisch zu Ã¼berprÃ¼fen (Rz 1043 KHMI).</w:t>
      </w:r>
    </w:p>
    <w:p>
      <w:r>
        <w:t>Â Â Â Â Â Â Â Â  Einen allfÃ¤lligen Antrag auf Ausrichtung einer PauschalentschÃ¤digung (Urk. 1 Seite 2) hÃ¤tte die BeschwerdefÃ¼hrerin an die Beschwerdegegnerin zu richten.</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w:t>
      </w:r>
    </w:p>
    <w:p>
      <w:r>
        <w:t>Â Â Â Â Â Â Â Â  Vorliegend erweist sich eine Kostenpauschale von Fr. 500.-- als angemessen. AusgangsgemÃ¤ss ist diese der BeschwerdefÃ¼hrerin aufzuerlegen.</w:t>
      </w:r>
    </w:p>
    <w:p>
      <w:r>
        <w:t>Das Gericht erkennt:</w:t>
      </w:r>
    </w:p>
    <w:p>
      <w:r>
        <w:t>1.Â Â Â Â Â Â Â Â  Die Beschwerde wird abgewiesen.</w:t>
      </w:r>
    </w:p>
    <w:p>
      <w:r>
        <w:t>2.Â Â Â Â Â Â Â Â  Die Gerichtskosten von Fr. 500.--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