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IV.2009.00685 vom 29. April 2011</w:t>
      </w:r>
    </w:p>
    <w:p>
      <w:r>
        <w:t>ZH Sozialversicherungsgericht, 2011-04-29, DE</w:t>
      </w:r>
    </w:p>
    <w:p>
      <w:r>
        <w:rPr>
          <w:b/>
        </w:rPr>
        <w:t xml:space="preserve">Quelle: </w:t>
      </w:r>
      <w:r>
        <w:t>https://mcp.opencaselaw.ch/entscheid/zh_sozialversicherungsgericht_IV.2009.00685</w:t>
      </w:r>
    </w:p>
    <w:p>
      <w:r>
        <w:t>FR: ZH_SOZIALVERSICHERUNGSGERICHT IV.2009.00685 du 29 avril 2011</w:t>
      </w:r>
    </w:p>
    <w:p>
      <w:r>
        <w:t>IT: ZH_SOZIALVERSICHERUNGSGERICHT IV.2009.00685 del 29 aprile 2011</w:t>
      </w:r>
    </w:p>
    <w:p>
      <w:pPr>
        <w:pStyle w:val="Heading2"/>
      </w:pPr>
      <w:r>
        <w:t>Erwägungen</w:t>
      </w:r>
    </w:p>
    <w:p>
      <w:r>
        <w:rPr>
          <w:b/>
        </w:rPr>
        <w:t>E. 2</w:t>
      </w:r>
    </w:p>
    <w:p>
      <w:r>
        <w:t>2.1Â Â Â Â  GemÃ¤ss Art. 21 des Bundesgesetzes Ã¼ber die Invalidenversicherung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 Die Hilfsmittel werden zu Eigentum oder leihweise in einfacher und zweckmÃ¤ssiger AusfÃ¼hrung abgegeben oder pauschal vergÃ¼tet (Absatz 3, Satz 1).</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w:t>
      </w:r>
    </w:p>
    <w:p>
      <w:r>
        <w:t>2.2Â Â Â Â  Laut Art. 2 Abs. 1 HVI besteht im Rahmen der im Anhang aufgefÃ¼hrten Liste Anspruch auf Hilfsmittel, soweit diese fÃ¼r die Fortbewegung, die Herstellung des Kontaktes mit der Umwelt oder fÃ¼r die Selbstsorge notwendig sind. Der Anspruch auf Hilfsmittel erstreckt sich gemÃ¤ss Art. 2 Abs. 3 HVI auch auf das invalitÃ¤tsbedingt notwendige ZubehÃ¶r und die invaliditÃ¤tsbedingten Anpassungen.</w:t>
      </w:r>
    </w:p>
    <w:p>
      <w:r>
        <w:t>Â Â Â Â Â Â Â Â  Es besteht nach Art. 2 Abs. 4 HVI nur Anspruch auf Hilfsmittel in einfacher und zweckmÃ¤ssiger AusfÃ¼hrung. Durch eine andere AusfÃ¼hrung bedingte zusÃ¤tzliche Kosten hat der Versicherte selbst zu tragen. Fehlen vertraglich vereinbarte Tarife im Sinne von Art. 27 Abs. 1 IVG, so gelten die im Anhang festgelegten HÃ¶chstbeitrÃ¤ge. Fehlen auch solche HÃ¶chstbeitrÃ¤ge, so werden die effektiven Kosten vergÃ¼tet.</w:t>
      </w:r>
    </w:p>
    <w:p>
      <w:r>
        <w:rPr>
          <w:b/>
        </w:rPr>
        <w:t>E. 2.3</w:t>
      </w:r>
    </w:p>
    <w:p>
      <w:r>
        <w:t>Â Â Â Â Im Hilfsmittelbereich der Invalidenversicherung hat das EidgenÃ¶ssische Versicherungsgericht folgenden Grundsatz aufgestellt: Umfasst das von der versicherten Person selber angeschaffte Hilfsmittel auch die Funktion eines ihr an sich zustehenden Hilfsmittels, so steht einer GewÃ¤hrung von Amortisations- oder KostenbeitrÃ¤gen nichts entgegen; diese sind alsdann auf der Basis der Anschaffungskosten des Hilfsmittels zu berechnen, auf das die versicherte Person an sich Anspruch hat (Austauschbefugnis; BGE 120 V 292 Erw. 3c, 111 V 213 Erw. 2b und 215, vgl. auch BGE 131 V 111 Erw. 3.2.1; ZAK 1988 S. 182 Erw. 2b, 1986 S. 527 Erw. 3a; Meyer-Blaser, Zum VerhÃ¤ltnismÃ¤ssigkeitsgrundsatz im staatlichen Leistungsrecht, Diss. Bern 1985, S. 87 ff.).</w:t>
      </w:r>
    </w:p>
    <w:p>
      <w:r>
        <w:rPr>
          <w:b/>
        </w:rPr>
        <w:t>E. 3</w:t>
      </w:r>
    </w:p>
    <w:p>
      <w:r>
        <w:t>3.1Â Â Â Â  Der Anspruch auf einen der Schwerstbehinderung der Versicherten angepassten Rollstuhl mit KopfstÃ¼tzen ist unbestritten und ohne weiteres ausgewiesen, zumal RollstÃ¼hle in der Hilfsmittelliste unter Ziff. 9 des HVI-Anhangs ausdrÃ¼cklich aufgefÃ¼hrt werden und sich der Anspruch laut Art. 2 Abs. 3 HVI auch auf das invaliditÃ¤tsbedingt notwendige ZubehÃ¶r und die invaliditÃ¤tsbedingten Anpassungen erstreckt.</w:t>
      </w:r>
    </w:p>
    <w:p>
      <w:r>
        <w:t>3.2Â Â Â Â  Die IV-Stelle und die Hilfsmittelberatung halten die zusÃ¤tzlich offerierten KopfstÃ¼tzenÃ¼berzÃ¼ge deshalb nicht fÃ¼r notwendig, weil bei den heutigen technischen MÃ¶glichkeiten gute, weich gepolsterte und abwaschbare KopfstÃ¼tzen hergestellt werden kÃ¶nnten (Urk. 2, 7/80).</w:t>
      </w:r>
    </w:p>
    <w:p>
      <w:r>
        <w:t>Â Â Â Â Â Â Â Â</w:t>
      </w:r>
    </w:p>
    <w:p>
      <w:r>
        <w:t>Â Â Â Â Â Â Â Â  Dagegen wird in der Beschwerde vorgebracht, die zum zugesprochenen Rollstuhl gehÃ¶renden KopfstÃ¼tzen seien nicht Ã¼berzogen, ungepolstert und teilweise mit zusÃ¤tzlichen Holzkanten versehen. Nur die ÃberzÃ¼ge hÃ¤tten eine Polster- und Sicherheitswirkung. Ohne die ÃberzÃ¼ge seien die KopfstÃ¼tzen unbrauchbar und unzumutbar. Es bestehe die Gefahr offener Stellen am Hinterkopf; denn die Versicherte kÃ¶nne den Kopf kaum ein paar Sekunden selbstÃ¤ndig halten und sei daher rund um die Uhr auf das AbstÃ¼tzen des Kopfes angewiesen. Ein anderes Rollstuhlmodell komme nicht in Frage, da sich der bisherige Rollstuhl nun wÃ¤hrend zehn Jahren bewÃ¤hrt habe (Urk. 1).</w:t>
      </w:r>
    </w:p>
    <w:p>
      <w:r>
        <w:t>3.3Â Â Â Â  An sich ist somit unbestritten und geht aus den der Beschwerde beigelegten Photos der KopfstÃ¼tzen mit und ohne Ãberzug (Urk. 3) klar und eindeutig hervor, dass die von der IV-Stelle abgegebenen, offenbar zum Spezialrollstuhl Quicki TS gehÃ¶renden KopfstÃ¼tzen als solche kaum oder doch nur minimal gepolstert und anatomisch ungenÃ¼gend angepasst sind. Es leuchtet daher ohne weiteres ein, dass die schwerst behinderte Versicherte auf gepolsterte KopfstÃ¼tzen angewiesen ist. IV-Stelle und A.___-Hilfsmittelberatung stellen denn auch die Notwendigkeit und ZweckmÃ¤ssigkeit gepolsterter ÃberzÃ¼ge nicht grundsÃ¤tzlich in Frage. Indem sie auf die technischen MÃ¶glichkeiten der Herstellung weich gepolsterter und abwaschbarer KopfstÃ¼tzen verweisen, gehen sie sinngemÃ¤ss davon aus, dass derartige KopfstÃ¼tzen einfacher und damit auch kostengÃ¼nstiger seien, weshalb die Versicherte die zusÃ¤tzlichen Kosten der ÃberzÃ¼ge selbst zu tragen habe.</w:t>
      </w:r>
    </w:p>
    <w:p>
      <w:r>
        <w:t>Â Â Â Â Â Â Â Â  Mit dem bloss allgemein gehaltenen Verweis auf anderweitige technische MÃ¶glichkeiten belegt die IV-Stelle in keiner Weise, dass ausreichend gepolsterte, abwaschbare und zum Rollstuhl der BeschwerdefÃ¼hrerin passende KopfstÃ¼tzen erhÃ¤ltlich und gÃ¼nstiger sind als die vom Z.___ offerierten KopfstÃ¼tzen mit den dazugehÃ¶rigen separaten gepolsterten ÃberzÃ¼gen. Es kann daher nicht angenommen werden, dass die vorliegend zu beurteilende KopfstÃ¼tzenversorgung mit separaten gepolsterten ÃberzÃ¼gen nicht einfach und zweckmÃ¤ssig ist. Mangels konkreter Hinweise oder anderweitiger Offerten im Sinne von Rz 1066 des Kreisschreibens Ã¼ber die Abgabe von Hilfsmitteln durch die Invalidenversicherung (KHMI, Stand 1. Januar 2009) fehlen zudem Anhaltspunkte dafÃ¼r, dass KopfstÃ¼tzen mit ÃberzÃ¼gen in der gleichen AusfÃ¼hrung wie die offerierten gÃ¼nstiger erhÃ¤ltlich sein kÃ¶nnten.</w:t>
      </w:r>
    </w:p>
    <w:p>
      <w:r>
        <w:t>Â Â Â Â Â Â Â Â  Die Voraussetzungen fÃ¼r die Ãbernahme der effektiven Kosten der KopfstÃ¼tzenÃ¼berzÃ¼ge durch die IV-Stelle zusÃ¤tzlich zu den nicht mehr strittigen KopfstÃ¼tzen sind somit erfÃ¼llt. Dies umso mehr, als weder im Tarifvertrag mit dem Dachverband der Schweizerischen Handels- und Industrievereinigungen der Medizinaltechnik (FASMED) und dem Verband der OrthopÃ¤dietechniker (SVOT), auf den Ziff. 9 des HVI-Anhangs betreffend die VergÃ¼tung von RollstÃ¼hlen verweist, noch im HVI-Anhang HÃ¶chstbetrÃ¤ge fÃ¼r ausreichend gepolsterte KopfstÃ¼tzen festgesetzt worden sind (vgl. Rz 1073 1/09 KHMI).</w:t>
      </w:r>
    </w:p>
    <w:p>
      <w:r>
        <w:t>Â Â Â Â Â Â Â Â  Folglich ist die Beschwerde gutzuheissen, und es ist festzustellen, dass die Beschwerdegegnerin die Kosten der KopfstÃ¼tzenÃ¼berzÃ¼ge in der HÃ¶he von Fr. 589.65 (inklusive Mehrwertsteuer) zu Ã¼bernehmen hat.</w:t>
      </w:r>
    </w:p>
    <w:p>
      <w:r>
        <w:t>4.Â Â Â Â Â Â  Da die BeschwerdefÃ¼hrerin obsiegt, hat die Beschwerdegegnerin fÃ¼r das aufgrund Art. 69 Abs. 1 bis IVG kostenpflichtige Verfahren aufzukommen.</w:t>
      </w:r>
    </w:p>
    <w:p>
      <w:r>
        <w:t>Die Einzelrichterin erkennt:</w:t>
      </w:r>
    </w:p>
    <w:p>
      <w:r>
        <w:t>1.Â Â Â Â Â Â Â Â  In Gutheissung der Beschwerde wird die VerfÃ¼gung der Sozialversicherungsanstalt des Kantons ZÃ¼rich, IV-Stelle, vom 23. Juni 2009 aufgehoben, und es wird festgestellt, dass die Beschwerdegegnerin der BeschwerdefÃ¼hrerin fÃ¼r die beiden KopfstÃ¼tzen je zwei ÃberzÃ¼ge abzugeben und die entsprechenden Kosten von Fr. 589.65 (inklusive Mehrwertsteuer) zu Ã¼bernehmen hat.</w:t>
      </w:r>
    </w:p>
    <w:p>
      <w:r>
        <w:t>2.Â Â Â Â Â Â Â Â  Die Gerichtskosten von Fr. 300.-- werden der Beschwerdegegnerin auferlegt. Rechnung und Einzahlungsschein werden dieser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