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IV.2009.00591 vom 29. August 2009</w:t>
      </w:r>
    </w:p>
    <w:p>
      <w:r>
        <w:t>ZH Sozialversicherungsgericht, 2009-08-29, DE</w:t>
      </w:r>
    </w:p>
    <w:p>
      <w:r>
        <w:rPr>
          <w:b/>
        </w:rPr>
        <w:t xml:space="preserve">Quelle: </w:t>
      </w:r>
      <w:r>
        <w:t>https://mcp.opencaselaw.ch/entscheid/zh_sozialversicherungsgericht_IV.2009.00591</w:t>
      </w:r>
    </w:p>
    <w:p>
      <w:r>
        <w:t>FR: ZH_SOZIALVERSICHERUNGSGERICHT IV.2009.00591 du 29 août 2009</w:t>
      </w:r>
    </w:p>
    <w:p>
      <w:r>
        <w:t>IT: ZH_SOZIALVERSICHERUNGSGERICHT IV.2009.00591 del 29 agosto 2009</w:t>
      </w:r>
    </w:p>
    <w:p>
      <w:pPr>
        <w:pStyle w:val="Heading2"/>
      </w:pPr>
      <w:r>
        <w:t>Erwägungen</w:t>
      </w:r>
    </w:p>
    <w:p>
      <w:r>
        <w:rPr>
          <w:b/>
        </w:rPr>
        <w:t>E. 1</w:t>
      </w:r>
    </w:p>
    <w:p>
      <w:r>
        <w:t>1.1Â Â Â Â  Nach Art. 42 des Bundesgesetzes Ã¼ber den Allgemeinen Teil des Sozialversicherungsrechts (ATSG) haben die Parteien Anspruch auf rechtliches GehÃ¶r, wobei sie nicht angehÃ¶rt werden mÃ¼ssen vor VerfÃ¼gungen, die durch Einsprache anfechtbar sind.</w:t>
      </w:r>
    </w:p>
    <w:p>
      <w:r>
        <w:t>Â Â Â Â Â Â Â Â  Einer der Bestandteile des Anspruchs auf rechtliches GehÃ¶r, wie er neben der expliziten gesetzlichen Regelung in Art. 42 ATSG auch in Art. 29 Abs. 2 der Bundesverfassung (BV) garantiert wird (vgl. BGE 124 V 181 Erw. 1a), ist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Erw. 1a mit Hinweisen; Kieser, ATSG-Kommentar, 2. Auflage, Art. 42 Rz 11 ff.).</w:t>
      </w:r>
    </w:p>
    <w:p>
      <w:r>
        <w:t>Â Â Â Â Â Â Â Â  Ein weiterer Aspekt des Anspruchs auf rechtliches GehÃ¶r ist das Recht auf eine BegrÃ¼ndung eines Entscheids,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(vgl. BGE 124 181 Erw. 1a mit Hinweisen; Kieser, ATSG-Kommentar, 2. Auflage, Art. 49 Rz 38 und Art. 52 Rz 33).</w:t>
      </w:r>
    </w:p>
    <w:p>
      <w:r>
        <w:t>1.2Â Â Â Â  Der Anspruch auf rechtliches GehÃ¶r ist formeller Natur. Dessen Verletzung fÃ¼hrt daher grundsÃ¤tzlich ungeachtet der Erfolgsaussichten der Beschwerde in der Sache selbst zur Aufhebung des angefochtenen Entscheids.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2. Auflage, Art. 42 Rz 9).</w:t>
      </w:r>
    </w:p>
    <w:p>
      <w:r>
        <w:t>2.Â Â Â Â Â Â  In der angefochtenen VerfÃ¼gung vom 5. Juni 2009 wird keinerlei Bezug auf die Stellungnahme der BeschwerdefÃ¼hrerin vom 8. Mai 2009 genommen, sondern es wird lediglich die BegrÃ¼ndung im Vorbescheid wiederholt. Es ist daher fraglich, ob die Beschwerdegegnerin diese Stellungnahme Ã¼berhaupt zur Kenntnis genommen hat. Es steht jedoch fest, dass die Stellungnahme bei der Beschwerdegegnerin eingegangen ist, denn sie ist im eingereichten, chronologisch geordneten Dossier vor der angefochtenen VerfÃ¼gung abgelegt (Urk. 8/31 S. 15-17). Anhaltspunkte dafÃ¼r, dass die Stellungnahme verspÃ¤tet erstattet worden wÃ¤re, bestehen ebenfalls keine; die Beschwerdegegnerin hat die AusfÃ¼hrungen der BeschwerdefÃ¼hrerin zur Rechtzeitigkeit (Urk. 1 S. 2) nicht bestritten, und es ist ihnen zuzustimmen. Unter diesen UmstÃ¤nden hat die Beschwerdegegnerin mit ihrem VersÃ¤umnis, auf die Stellungnahme zum Vorbescheid einzugehen, den GehÃ¶rsanspruch der BeschwerdefÃ¼hrerin in elementarer Weise verletzt. Denn im invalidenversicherungsrechtlichen Verfahren sind im Rahmen dieses Anspruchs das Ãusserungsrecht und die BegrÃ¼ndungspflicht in der Weise miteinander verknÃ¼pft, dass die Verwaltung sich in der VerfÃ¼gung mit den Einwendungen, die im Vorbescheidverfahren vorgebracht werden, ausdrÃ¼cklich auseinandersetzen muss oder zumindest die GrÃ¼nde anzugeben hat, weshalb sie gewisse Gesichtspunkte nicht berÃ¼cksichtigen kann (vgl. BGE 124 V 183 Erw. 2b).</w:t>
      </w:r>
    </w:p>
    <w:p>
      <w:r>
        <w:t>Â Â Â Â Â Â Â Â  Die dargelegte Verletzung ist einer Heilung im vorliegenden Verfahren nicht zugÃ¤nglich, da sich die Beschwerdegegnerin auch in der Beschwerdeantwort nicht mit den Argumenten der BeschwerdefÃ¼hrerin in der Stellungnahme vom 8. Mai 2009 und in der Beschwerdeschrift auseinandergesetzt hat, sodass ihr Standpunkt dazu nach wie vor nicht bekannt ist. Hinzu kommt, dass die Beschwerdegegnerin auch dem Gesuch um Zustellung der vollstÃ¤ndigen Akten (Urk. 8/31 S. 17), das die BeschwerdefÃ¼hrerin in der Stellungnahme vom 8. Mai 2009 gestellt hat (Urk. 8/31 S. 17), nicht nachgekommen ist, und dies, obwohl die 30tÃ¤gige Frist zur Stellungnahme am 8. Mai 2009 wegen des Hinweises auf den Friststillstand noch nicht als abgelaufen betrachtet werden konnte, wie die BeschwerdefÃ¼hrerin richtig bemerken lÃ¤sst (vgl. Urk. 1 S. 2). Denn auch wenn die BeschwerdefÃ¼hrerin schon im Verfahren, das zum Erlass der ursprÃ¼nglichen VerfÃ¼gung vom 8. MÃ¤rz 2005 (Urk. 8/20) gefÃ¼hrt hatte, durch die TCL vertreten war, so vermochte sie gemÃ¤ss ihren Vorbringen (vgl. Urk. 8/31 S. 17 und Urk. 1 S. 2) doch nicht auszuschliessen, dass sie verschiedene AktenstÃ¼cke noch nicht kannte. Deshalb hÃ¤tte sie unter dem Aspekt des rechtlichen GehÃ¶rs ohne Weiteres Anspruch darauf gehabt, dass ihr nochmals die vollstÃ¤ndigen Akten zur Kenntnis gebracht worden wÃ¤ren.</w:t>
      </w:r>
    </w:p>
    <w:p>
      <w:r>
        <w:t>Â Â Â Â Â Â Â Â  Die angefochtene VerfÃ¼gung vom 5. Juni 2009 ist daher ungeachtet der materiellen Erfolgsaussichten der Beschwerde aufzuheben. Dabei ist die Beschwerdegegnerin nicht nur dazu zu verpflichten, die neu zu erlassende VerfÃ¼gung ausreichend zu begrÃ¼nden, sondern es ist wegen des Mangels in der GewÃ¤hrung des Akteneinsichtsrechts auch angezeigt, dass sie das Vorbescheidverfahren nochmals durchfÃ¼hrt. Damit obsiegt die BeschwerdefÃ¼hrerin mit ihrem Hauptantrag.</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750.-- (inklusive Barauslagen und Mehrwertsteuer) zuzusprechen.</w:t>
      </w:r>
    </w:p>
    <w:p>
      <w:r>
        <w:t>4.Â Â Â Â Â Â  GestÃ¼tzt auf Art. 69 Abs. 1 bis IVG ist das Verfahren fÃ¼r die unterliegende Beschwerdegegnerin kostenpflichtig. Die Kosten sind unter BerÃ¼cksichtigung des gesetzlichen Rahmens auf Fr. 400.-- festzusetzen.</w:t>
      </w:r>
    </w:p>
    <w:p>
      <w:r>
        <w:t>Das Gericht erkennt:</w:t>
      </w:r>
    </w:p>
    <w:p>
      <w:r>
        <w:t>1.Â Â Â Â Â Â Â Â  In Gutheissung der Beschwerde wird die angefochtene VerfÃ¼gung vom 5. Juni 2009 aufgehoben, und die Sache wird zum Vorgehen im Sinne der ErwÃ¤gungen an die Sozialversicherungsanstalt des Kantons ZÃ¼rich (SVA), IV-Stelle, zurÃ¼ckgewiesen.</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750.-- (inklusive Barauslagen und Mehrwertsteuer) zu bezahlen.</w:t>
      </w:r>
    </w:p>
    <w:p>
      <w:r>
        <w:t>4.Â Â Â Â Â Â Â Â  Zustellung gegen Empfangsschein an:</w:t>
      </w:r>
    </w:p>
    <w:p>
      <w:r>
        <w:t>- TCL Treuhand Consulting Liegenschaften AG unter Beilage einer Kopie von Urk. 7</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