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IV.2009.00529 vom 16. November 2010</w:t>
      </w:r>
    </w:p>
    <w:p>
      <w:r>
        <w:t>ZH Sozialversicherungsgericht, 2010-11-16, DE</w:t>
      </w:r>
    </w:p>
    <w:p>
      <w:r>
        <w:rPr>
          <w:b/>
        </w:rPr>
        <w:t xml:space="preserve">Quelle: </w:t>
      </w:r>
      <w:r>
        <w:t>https://mcp.opencaselaw.ch/entscheid/zh_sozialversicherungsgericht_IV.2009.00529</w:t>
      </w:r>
    </w:p>
    <w:p>
      <w:r>
        <w:t>FR: ZH_SOZIALVERSICHERUNGSGERICHT IV.2009.00529 du 16 novembre 2010</w:t>
      </w:r>
    </w:p>
    <w:p>
      <w:r>
        <w:t>IT: ZH_SOZIALVERSICHERUNGSGERICHT IV.2009.00529 del 16 novembre 2010</w:t>
      </w:r>
    </w:p>
    <w:p>
      <w:pPr>
        <w:pStyle w:val="Heading2"/>
      </w:pPr>
      <w:r>
        <w:t>Erwägungen</w:t>
      </w:r>
    </w:p>
    <w:p>
      <w:r>
        <w:rPr>
          <w:b/>
        </w:rPr>
        <w:t>E. 1</w:t>
      </w:r>
    </w:p>
    <w:p>
      <w:r>
        <w:t>Der 1944 geborene X.___ arbeitete bis Juni 1994 als Lastwagen chauffeur bei der Y.___ AG und ab April 2003 als Chauffeur bei der Z.___ (Urk. 6/20, Urk. 6/57, Urk. 6/66). Wegen Rücken- und Kreuzschmerzen meldete sich der Versicherte am 27. Oktober 1994 erstmals bei der Invalidenversicherung (IV) zum Rentenbezug an (Urk. 6/14/1). Die Verfü gung vom 18. April 1996, mit welcher die Sozialversicherungsanstalt des Kan tons Zürich, IV-Stelle, einen Anspruch des Versicherten auf eine Invalidenrente verneinte, wurde mit unangefochten gebliebenem Urteil des hiesigen Gerichts vom 4. März 1998 bestätigt (Urk. 6/4). Am 27. März 1998 reichte der Versicherte erneut ein Rentengesuch ein, welches die IV-Stelle mit Verfügung vom 10. Dezember 1999 abwies (vgl. Urk. 6/14/2). Eine dagegen erhobene Beschwerde wies das hiesige Gericht mit Urteil vom 4. April 2001 ab, (Urk. 6/14), welcher Entscheid am 4. Oktober 2001 durch das Eidgenössische Versicherungsgericht bestätigt wurde (Urk. 6/15). Auf die am 6. Dezember 2001 erfolgte erneute Anmeldung hin (Urk. 6/16) gewährte die IV-Stelle dem Versicherten eine halbe Rente samt Kinderrenten ab dem 1. Dezember 2000 (Urk. 6/49), welche sie gestützt auf das Revisionsgesuch vom 7. Mai 2005 (Urk. 6/62) mit Verfügung vom 13. Oktober 2005 bei einem Invaliditätsgrad von 71 % auf eine ganze Rente erhöhte (Urk. 6/72). In der Folge beantragte der Versicherte diverse Hilfsmittel (Urk. 6/77, Urk. 6/86, Urk. 6/94, Urk. 6/99) darunter auch eine nach trägliche Kostengutsprache für die Installation eines automatischen Gara gen toröffners -, wovon ihm die IV-Stelle das Dusch-WC mit Verfügung vom 18. Januar 2007 gewährte (Urk. 6/85) und die übrigen abwies (Urk. 6/89, Urk. 6/96, Urk. 6/110 = Urk. 2).</w:t>
      </w:r>
    </w:p>
    <w:p>
      <w:r>
        <w:rPr>
          <w:b/>
        </w:rPr>
        <w:t>E. 2</w:t>
      </w:r>
    </w:p>
    <w:p>
      <w:r>
        <w:t>Gegen die Verfügung vom 4. Mai 2009 (Urk. 2), mit welcher die IV-Stelle nach durchgeführtem Vorbescheidverfahren (Vorbescheid vom 4. März 2009, Urk. 6/105; Einwand vom 15. März 2009, Urk. 6/107) die Kostenübernahme eines Garagentoröffners verneint hatte, erhob X.___ am 26. Mai 2009 Beschwerde und beantragte sinngemäss die Aufhebung der angefochtenen Verfügung sowie Kostengutsprache für das erwähnte Hilfsmittel (Urk. 1). Mit Beschwerdeantwort vom 26. Juni 2009 ersuchte die Beschwerdegegnerin um Abweisung der Beschwerde (Urk. 5).</w:t>
      </w:r>
    </w:p>
    <w:p>
      <w:r>
        <w:rPr>
          <w:b/>
        </w:rPr>
        <w:t>E. 2.1</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(Abs. 1). Die Hilfsmittel werden zu Eigentum oder leihweise in einfacher und zweckmässiger Ausführung abgegeben oder pauschal vergütet (Absatz 3, erster Satz).</w:t>
      </w:r>
    </w:p>
    <w:p>
      <w:r>
        <w:t>Die Befugnis zur Aufstellung der Hilfsmittelliste und zum Erlass ergänzender Vorschriften im Sinne von Art. 21 Abs. 4 IVG hat der Bundesrat in Art. 14 IVV an das Eidgenössische Departement des Innern übertragen, welches die Verord 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 übung einer Erwerbstätigkeit oder die Tätigkeit im Aufgabenbereich, für die Schulung, die Ausbildung, die funktionelle Angewöhnung oder für die in der zutreffenden Ziffer des Anhangs ausdrücklich genannte Tätigkeit notwendig sind (Abs. 2; BGE 122 V 214 Erw . 2a).</w:t>
      </w:r>
    </w:p>
    <w:p>
      <w:r>
        <w:rPr>
          <w:b/>
        </w:rPr>
        <w:t>E. 2.2</w:t>
      </w:r>
    </w:p>
    <w:p>
      <w:r>
        <w:t>Unter der Kategorie "Hilfsmittel am Arbeitsplatz, im Aufgabenbereich, zur Schu lung und Ausbildung sowie bauliche Vorkehren zur Überwindung des Arbeits weges" führt Ziff. 13.04* des Anhangs zur HVI auf: Invaliditätsbedingte bauliche Änderungen am Arbeitsplatz und im Aufgabenbereich.</w:t>
      </w:r>
    </w:p>
    <w:p>
      <w:r>
        <w:rPr>
          <w:b/>
        </w:rPr>
        <w:t>E. 2.3</w:t>
      </w:r>
    </w:p>
    <w:p>
      <w:r>
        <w:t>Im Hinblick auf die Gleichstellung der im Aufgabenbereich tätigen mit den erwerbs tätigen Versicherten, bei denen ein Mindesteinkommen für den Anspruch auf die im Anhang zur HVI mit * bezeichneten Hilfsmittel genügt, hat dies indessen auch für andere Hilfsmittel im Aufgabenbereich zu gelten. Der Anspruch auf solche Hilfsmittel setzt mithin voraus, dass die versicherte Person in beachtlichem Umfang im Aufgabenbereich tätig ist. Was noch als beachtlich zu gelten hat, bestimmt sich dabei aufgrund des konkreten Aufgabenbereichs unter Berücksichtigung der durch das Hilfsmittel möglichen Verbesserung des Leistungsvermögens (BGE 122 V 217 Erw . 4c/ aa , 117 V 273 f. Erw . 2b/ bb in fine ; ZAK 1992 S. 215 f. Erw . 2bb).</w:t>
      </w:r>
    </w:p>
    <w:p>
      <w:r>
        <w:rPr>
          <w:b/>
        </w:rPr>
        <w:t>E. 3</w:t>
      </w:r>
    </w:p>
    <w:p>
      <w:r>
        <w:t>Auf die Vorbringen der Parteien wird, soweit erforderlich, in den Erwägungen eingegangen. Der Einzelrichter zieht in Erwägung: 1.</w:t>
      </w:r>
    </w:p>
    <w:p>
      <w:r>
        <w:t>Da der Streitwert Fr. 20’000.-- nicht übersteigt (Urk. 6/101), fällt die Beurteilung der Beschwerde in die einzelrichterliche Zuständigkeit (§ 11 Abs. 1 des Gesetzes über das Sozialversicherungsgericht). 2.</w:t>
      </w:r>
    </w:p>
    <w:p>
      <w:r>
        <w:rPr>
          <w:b/>
        </w:rPr>
        <w:t>E. 3.1</w:t>
      </w:r>
    </w:p>
    <w:p>
      <w:r>
        <w:t>Die Beschwerdegegnerin begründete ihren ablehnenden Entscheid damit, dass der Beschwerdeführer keiner Erwerbstätigkeit mehr nachgehe und damit die Voraussetzungen für die Kostenübernahme eines Garagentoröffners nicht gege ben seien. Dass er seine Ehefrau zur Arbeit fahre und wieder abhole, sei nicht IV-relevant. Der Ehefrau könne die Benutzung öffentlicher Verkehrsmittel zugemutet werden. Ausserdem sei der Beschwerdeführer die versicherte Person, weshalb sich die Erwerbstätigkeit auf ihn und nicht auf seine Ehefrau beziehe. Die Einkäufe könne der Beschwerdeführer ferner einmal wöchentlich zusammen mit seiner Ehefrau erledigen (Urk. 2/2).</w:t>
      </w:r>
    </w:p>
    <w:p>
      <w:r>
        <w:rPr>
          <w:b/>
        </w:rPr>
        <w:t>E. 3.2</w:t>
      </w:r>
    </w:p>
    <w:p>
      <w:r>
        <w:t>Der Beschwerdeführer hält dem im Wesentlichen entgegen, dass seine Ehefrau nicht bereit sei, die öffentlichen Verkehrsmittel zu benützen, da sich ihr Arbeitsweg dadurch erheblich verlängerte. Er selber könne nicht auf das Auto verzichten, da er den Einkauf zu erledigen habe und zweimal pro Woche ins Hallenbad fahre. Für ihn sei die Benützung der öffentlichen Verkehrsmittel sehr kompliziert, insbesondere ermüde er sehr schnell (Urk. 1).</w:t>
      </w:r>
    </w:p>
    <w:p>
      <w:r>
        <w:rPr>
          <w:b/>
        </w:rPr>
        <w:t>E. 3.3</w:t>
      </w:r>
    </w:p>
    <w:p>
      <w:r>
        <w:t>Streitig und zu prüfen ist, ob die Beschwerdegegnerin den Anspruch des Beschwerdeführers auf einen automatischen Garagentoröffner zu Recht abge wiesen hat.</w:t>
      </w:r>
    </w:p>
    <w:p>
      <w:r>
        <w:rPr>
          <w:b/>
        </w:rPr>
        <w:t>E. 4.1</w:t>
      </w:r>
    </w:p>
    <w:p>
      <w:r>
        <w:t>Nach den unbestritten gebliebenen Vorbringen der Beschwerdegegnerin und in Anbetracht der mit Verfügung vom 13. Oktober 2005 zugesprochenen ganzen Invalidenrente (Urk. 6/72) ist davon auszugehen, dass der Beschwerdeführer nicht mehr erwerbstätig ist (Urk. 1, Urk. 2/2). Überdies hat er am 7. März 2009 das ordentliche AHV-Alter erreicht.</w:t>
      </w:r>
    </w:p>
    <w:p>
      <w:r>
        <w:rPr>
          <w:b/>
        </w:rPr>
        <w:t>E. 4.2.1</w:t>
      </w:r>
    </w:p>
    <w:p>
      <w:r>
        <w:t>Zu prüfen bleibt, ob der Beschwerdeführer zur Tätigkeit im Aufgabenbereich auf ein Auto angewiesen ist.</w:t>
      </w:r>
    </w:p>
    <w:p>
      <w:r>
        <w:rPr>
          <w:b/>
        </w:rPr>
        <w:t>E. 4.2.2</w:t>
      </w:r>
    </w:p>
    <w:p>
      <w:r>
        <w:t>ausgeführt, teilen sich der Beschwerdeführer und seine Ehefrau die Besorgung des Zweipersonenhaushaltes. Mithin ist davon auszugehen, dass der Beschwer deführer seinen Anteil an der Erledigung des gemeinsamen Haushaltes offen kundig auch ohne ein Auto und damit unabhängig von einem automatischen Garagentoröffner erbringen könnte. Damit fällt eine Versorgung mit dem anbe gehrten Hilfsmittel ausser Betracht.</w:t>
      </w:r>
    </w:p>
    <w:p>
      <w:r>
        <w:rPr>
          <w:b/>
        </w:rPr>
        <w:t>E. 4.3</w:t>
      </w:r>
    </w:p>
    <w:p>
      <w:r>
        <w:t>Nach dem Gesagten ist die Beschwerde abzuweisen.</w:t>
      </w:r>
    </w:p>
    <w:p>
      <w:r>
        <w:rPr>
          <w:b/>
        </w:rPr>
        <w:t>E. 5</w:t>
      </w:r>
    </w:p>
    <w:p>
      <w:r>
        <w:t>Gemäss dem seit 1. Juli 2006 in Kraft stehenden Art. 69 Abs. 1 bis IVG ist das Beschwerdeverfahren bei Streitigkeiten um die Bewilligung oder die Verweige rung von Leistungen der Invalidenversicherung vor dem kantonalen Versiche rungsgericht in Abweichung von Art. 61 lit . a ATSG kostenpflichtig. Die Kosten werden nach dem Verfahrensaufwand und unabhängig vom Streitwert im Rah men von Fr. 200.-- bis Fr. 1'000.-- festgelegt.</w:t>
      </w:r>
    </w:p>
    <w:p>
      <w:r>
        <w:t>Vorliegend erweist sich eine Kostenpauschale von Fr. 500.-- als angemessen. Ausgangsgemäss ist diese dem Beschwerdeführer aufzuerlegen. Der Einzelrichter erkennt: 1.</w:t>
      </w:r>
    </w:p>
    <w:p>
      <w:r>
        <w:t>Die Beschwerde wird abgewiesen. 2.</w:t>
      </w:r>
    </w:p>
    <w:p>
      <w:r>
        <w:t>Die Gerichtskosten von Fr. 500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EinzelrichterDie Gerichtssekretärin EnglerOnyetube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