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IV.2009.00393 vom 24. August 2009</w:t>
      </w:r>
    </w:p>
    <w:p>
      <w:r>
        <w:t>ZH Sozialversicherungsgericht, 2009-08-24, DE</w:t>
      </w:r>
    </w:p>
    <w:p>
      <w:r>
        <w:rPr>
          <w:b/>
        </w:rPr>
        <w:t xml:space="preserve">Quelle: </w:t>
      </w:r>
      <w:r>
        <w:t>https://mcp.opencaselaw.ch/entscheid/zh_sozialversicherungsgericht_IV.2009.00393</w:t>
      </w:r>
    </w:p>
    <w:p>
      <w:r>
        <w:t>FR: ZH_SOZIALVERSICHERUNGSGERICHT IV.2009.00393 du 24 août 2009</w:t>
      </w:r>
    </w:p>
    <w:p>
      <w:r>
        <w:t>IT: ZH_SOZIALVERSICHERUNGSGERICHT IV.2009.00393 del 24 agosto 2009</w:t>
      </w:r>
    </w:p>
    <w:p>
      <w:pPr>
        <w:pStyle w:val="Heading2"/>
      </w:pPr>
      <w:r>
        <w:t>Erwägungen</w:t>
      </w:r>
    </w:p>
    <w:p>
      <w:r>
        <w:rPr>
          <w:b/>
        </w:rPr>
        <w:t>E. 3</w:t>
      </w:r>
    </w:p>
    <w:p>
      <w:r>
        <w:t>3.1Â Â Â Â  Nach dem unter Erw. 1.2 Gesagten kann die Verwaltung bei Verletzung der Mitwirkungspflicht aufgrund der Akten verfÃ¼gen. Sie tat dies vorliegend gestÃ¼tzt auf den Umstand, dass der BeschwerdefÃ¼hrer nie zu den der Evaluation der geeigneten beruflichen Massnahme dienenden GesprÃ¤chen erschien.</w:t>
      </w:r>
    </w:p>
    <w:p>
      <w:r>
        <w:t>Â Â Â Â Â Â Â Â  Die IV-Stelle hatte den BeschwerdefÃ¼hrer mit Schreiben vom 17. Oktober 2008 zum ersten Mal zu einem GesprÃ¤ch eingeladen, um seine berufliche und gesundheitliche Situation zu besprechen (Urk. 6/30). Nachdem der vorgeschlagene Termin am 24. November 2008 von ihm nicht wahrgenommen worden war, schlug ihm die IV-Stelle mit Schreiben vom 24. November 2008 einen neuen GesprÃ¤chstermin vor, und zwar auf den 21. Januar 2009 (Urk. 6/31). Auch an diesem Datum erschien der BeschwerdefÃ¼hrer unentschuldigt nicht, worauf ihn die IV-Stelle mit eingeschriebenem Schreiben vom 21. Januar 2009 und der Androhung gemÃ¤ss Art. 21 Abs. 4 ATSG, wonach Leistungen vorÃ¼bergehend oder dauernd gekÃ¼rzt oder verweigert werden, wenn sich die versicherte Person einer zumutbaren Behandlung oder Eingliederung ins Erwerbsleben entzieht oder widersetzt, letztmals einen GesprÃ¤chstermin am 11. Februar 2009 vorschlug (Urk. 6/34). Der BeschwerdefÃ¼hrer blieb auch diesem Termin unentschuldigt fern.</w:t>
      </w:r>
    </w:p>
    <w:p>
      <w:r>
        <w:t>3.2Â Â Â Â  Der klare Wortlaut von Art. 21 Abs. 4 ATSG beziehungsweise des diesem entsprechenden Art. 43 Abs. 3 ATSG erlaubt jedoch der versicherten Person selbst bei offensichtlich fehlender Eingliederungsbereitschaft keine Abweichung vom Grundsatz, dass sie ohne RÃ¼cksicht auf ihr Verhalten auf die Folgen ihrer Widersetzlichkeit aufmerksam gemacht werden muss. Sinn und Zweck des Mahn- und Bedenkzeitverfahrens ist einerseits, den Versicherten nicht Folgen eines Verhaltens tragen zu lassen, Ã¼ber dessen Auswirkungen er sich mÃ¶glicherweise keine Rechenschaft abgelegt hat. Anderseits soll er innerhalb der gesetzten Frist und im Wissen um die angedrohten Folgen seine bisherige Verweigerungshaltung aufgeben kÃ¶nnen. Im Hinblick auf die Zielsetzung der Eingliederungsmassnahmen, einen Zustand wiederherzustellen oder zu verbessern, darf die KÃ¼rzung oder Verweigerung von Leistungen ohne RÃ¼cksicht auf das Verhalten der versicherten Person zwingend erst dann angeordnet werden, wenn diese gemahnt und ihr unter Bezugnahme auf das von ihr geforderte Verhalten und Ansetzen einer angemessenen Bedenkzeit schriftlich mitgeteilt worden ist, welche Folgen ihre Widersetzlichkeit nach sich ziehen kÃ¶nne (vgl. Urteil des Bundesgerichts vom 6. Mai 2008, 9C_494/2007, Erw. 2.2.2 mit Hinweisen).</w:t>
      </w:r>
    </w:p>
    <w:p>
      <w:r>
        <w:t>Vorliegend hat die Beschwerdegegnerin die erforderliche Androhung erstmals im eingeschriebenem Brief vom 21. Januar 2009 an den BeschwerdefÃ¼hrer (Urk. 6/34/1-2) ausgesprochen. Doch hatte dieser das Schreiben laut Postvermerk nicht innert Frist abgeholt (Urk. 6/34/3).</w:t>
      </w:r>
    </w:p>
    <w:p>
      <w:r>
        <w:t>3.3Â Â Â Â  Eine eingeschriebene Postsendung gilt grundsÃ¤tzlich in dem Zeitpunkt als zugestellt, in welchem die angeschriebene Person sie tatsÃ¤chlich in Empfang nimmt. Wird die Person nicht angetroffen und wird daher eine Abholungseinladung in ihren Briefkasten oder ihr Postfach gelegt, so gilt die Sendung in jenem Zeitpunkt als zugestellt, in welchem sie auf der Poststelle abgeholt wird. Geschieht dies nicht innert der postalischen Abholfrist, so gilt die Sendung als am letzten Tag dieser Frist zugestellt, sofern der Adressat mit der Zustellung hatte rechnen mÃ¼ssen (vgl. Urteil des frÃ¼heren EidgenÃ¶ssischen Versicherungsgerichts vom 11. Juni 2000, H 220/98 Hm, Erw. 3.b mit Hinweisen; BGE 123 III 493 Erw. 1).</w:t>
      </w:r>
    </w:p>
    <w:p>
      <w:r>
        <w:t>Vorliegend ist jedoch zu beachten, dass sich die gesundheitliche StÃ¶rung beim BeschwerdefÃ¼hrer laut Angabe der Ãrzte mitunter in Antriebslosigkeit Ã¤ussert und ihn auch daran hindert, Absprachen und Termine einzuhalten (vgl. Berichte von Dr. med. D.___, Facharzt Allgemeine Medizin FMH, vom 3. Dezember 2006, Urk. 6/12/5-8, 6/19; Bericht Prof. Dr. C.___, Urk. 6/29). MÃ¶glicherweise aus diesem Grund betraute er am 12. Dezember 2008, insbesondere im IV-Verwaltungsverfahren, die Sozialberatung Schlieren mit seiner Vertretung (Urk. 6/32). Wie sich aus der chronologischen Ordnung der IV-Akten ergibt, ging diese Vollmacht der Beschwerdegegnerin bereits vor dem Mahnschreiben vom 21. Januar 2009 zu. Sie wÃ¤re deshalb verpflichtet gewesen, dieses Schreiben, wenn nicht ausschliesslich, so doch zusÃ¤tzlich der damaligen Vertretung zuzustellen. Da sich in den Verwaltungsakten jedoch keine Anhaltspunkte fÃ¼r eine entsprechende Zustellung finden, ist davon auszugehen, dass das Mahn- und Bedenkzeitverfahren nicht korrekt durchgefÃ¼hrt wurde.</w:t>
      </w:r>
    </w:p>
    <w:p>
      <w:r>
        <w:t>Â Â Â Â Â Â Â Â  Folglich war es nicht angebracht, ohne DurchfÃ¼hrung des offenbar der Eingliederungsberatung dienenden GesprÃ¤chs einen Aktenentscheid zu fÃ¤llen, weshalb die Beschwerde gutzuheissen ist.</w:t>
      </w:r>
    </w:p>
    <w:p>
      <w:r>
        <w:t>4.Â Â Â Â Â Â  Die Kosten des Verfahrens sind auf Fr. 200.-- festzulegen und ausgangsgemÃ¤ss von der Beschwerdegegnerin zu tragen (Art. 69 Abs. 1 bis des Bundesgesetzes Ã¼ber die Invalidenversicherung; IVG).</w:t>
      </w:r>
    </w:p>
    <w:p>
      <w:r>
        <w:t>Das Gericht erkennt:</w:t>
      </w:r>
    </w:p>
    <w:p>
      <w:r>
        <w:t>1.Â Â Â Â Â Â Â Â  In Gutheissung der Beschwerde wird die VerfÃ¼gung vom 27. MÃ¤rz 2009 aufgehoben und die Sache an die Beschwerdegegnerin zur DurchfÃ¼hrung des Verwaltungsverfahrens betreffend berufliche Massnahmen zurÃ¼ckgewiesen.</w:t>
      </w:r>
    </w:p>
    <w:p>
      <w:r>
        <w:t>2.Â Â Â Â Â Â Â Â  Die Gerichtskosten von Fr. 200.-- werden der Beschwerdegegnerin auferlegt. Rechnung und Einzahlungsschein werden ihr nach Eintritt der Rechtskraft zugestellt.</w:t>
      </w:r>
    </w:p>
    <w:p>
      <w:r>
        <w:t>3.Â Â 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